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840" w:rsidRDefault="00B3023B">
      <w:pPr>
        <w:spacing w:after="0" w:line="360" w:lineRule="auto"/>
        <w:jc w:val="center"/>
        <w:rPr>
          <w:rFonts w:ascii="Times New Roman" w:eastAsia="Times New Roman" w:hAnsi="Times New Roman" w:cs="Times New Roman"/>
          <w:b/>
          <w:sz w:val="28"/>
        </w:rPr>
      </w:pPr>
      <w:bookmarkStart w:id="0" w:name="_GoBack"/>
      <w:bookmarkEnd w:id="0"/>
      <w:r>
        <w:rPr>
          <w:rFonts w:ascii="Times New Roman" w:eastAsia="Times New Roman" w:hAnsi="Times New Roman" w:cs="Times New Roman"/>
          <w:b/>
          <w:sz w:val="28"/>
        </w:rPr>
        <w:t>BINDURA UNIVERSITY OF SCIENCE EDUCATION</w:t>
      </w:r>
    </w:p>
    <w:p w:rsidR="00DF0840" w:rsidRDefault="00B3023B">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FACULTY OF COMMERCE</w:t>
      </w:r>
    </w:p>
    <w:p w:rsidR="00DF0840" w:rsidRDefault="00B3023B">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DEPARTMENT OF ECONOMICS</w:t>
      </w:r>
    </w:p>
    <w:p w:rsidR="00DF0840" w:rsidRDefault="00DF0840">
      <w:pPr>
        <w:spacing w:after="0" w:line="360" w:lineRule="auto"/>
        <w:jc w:val="both"/>
        <w:rPr>
          <w:rFonts w:ascii="Calibri" w:eastAsia="Calibri" w:hAnsi="Calibri" w:cs="Calibri"/>
        </w:rPr>
      </w:pPr>
    </w:p>
    <w:p w:rsidR="00DF0840" w:rsidRDefault="00B3023B">
      <w:pPr>
        <w:spacing w:after="0" w:line="360" w:lineRule="auto"/>
        <w:jc w:val="center"/>
        <w:rPr>
          <w:rFonts w:ascii="Calibri" w:eastAsia="Calibri" w:hAnsi="Calibri" w:cs="Calibri"/>
        </w:rPr>
      </w:pPr>
      <w:r>
        <w:object w:dxaOrig="6654" w:dyaOrig="5533">
          <v:rect id="rectole0000000000" o:spid="_x0000_i1025" style="width:333pt;height:276.75pt" o:ole="" o:preferrelative="t" stroked="f">
            <v:imagedata r:id="rId5" o:title=""/>
          </v:rect>
          <o:OLEObject Type="Embed" ProgID="StaticMetafile" ShapeID="rectole0000000000" DrawAspect="Content" ObjectID="_1788778270" r:id="rId6"/>
        </w:object>
      </w: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THE EFFECTS OF MONETARY POLICY ON FINANCIAL SECTOR STABILITY SUB- SAHARA AFRICA. (2008-2022)</w:t>
      </w:r>
    </w:p>
    <w:p w:rsidR="00DF0840" w:rsidRDefault="00DF0840">
      <w:pPr>
        <w:spacing w:after="0" w:line="360" w:lineRule="auto"/>
        <w:jc w:val="both"/>
        <w:rPr>
          <w:rFonts w:ascii="Times New Roman" w:eastAsia="Times New Roman" w:hAnsi="Times New Roman" w:cs="Times New Roman"/>
          <w:b/>
          <w:sz w:val="24"/>
        </w:rPr>
      </w:pPr>
    </w:p>
    <w:p w:rsidR="00DF0840" w:rsidRDefault="00B3023B">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BY</w:t>
      </w:r>
    </w:p>
    <w:p w:rsidR="00DF0840" w:rsidRDefault="00B3023B">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DAVID L TEWENDE</w:t>
      </w:r>
    </w:p>
    <w:p w:rsidR="00DF0840" w:rsidRDefault="00B3023B">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B200876B</w:t>
      </w:r>
    </w:p>
    <w:p w:rsidR="00DF0840" w:rsidRDefault="00B3023B">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SUPERVISED BY KAIRIZA</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A DISSERTATION SUBMITTED IN PARTIAL FULFILMENT OF THE REQUIREMENTS FOR THE BACHELORS HONOURS DEGREE IN ECONOMICS OF BINDURA UNIVERSITY OF SCIENCE EDUCATION FACULTY OF COMMERCE.</w:t>
      </w:r>
    </w:p>
    <w:p w:rsidR="00DF0840" w:rsidRDefault="00DF0840">
      <w:pPr>
        <w:spacing w:after="0" w:line="360" w:lineRule="auto"/>
        <w:jc w:val="both"/>
        <w:rPr>
          <w:rFonts w:ascii="Times New Roman" w:eastAsia="Times New Roman" w:hAnsi="Times New Roman" w:cs="Times New Roman"/>
          <w:b/>
          <w:sz w:val="24"/>
        </w:rPr>
      </w:pPr>
    </w:p>
    <w:p w:rsidR="00DF0840" w:rsidRDefault="00B3023B">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JUNE 2024</w:t>
      </w: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B3023B">
      <w:pPr>
        <w:keepNext/>
        <w:keepLines/>
        <w:spacing w:before="360"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RELEASE FORM</w:t>
      </w:r>
    </w:p>
    <w:p w:rsidR="00DF0840" w:rsidRDefault="00DF0840">
      <w:pPr>
        <w:spacing w:after="0" w:line="360" w:lineRule="auto"/>
        <w:jc w:val="both"/>
        <w:rPr>
          <w:rFonts w:ascii="Times New Roman" w:eastAsia="Times New Roman" w:hAnsi="Times New Roman" w:cs="Times New Roman"/>
          <w:b/>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STUDENT NAME     :     </w:t>
      </w:r>
      <w:r>
        <w:rPr>
          <w:rFonts w:ascii="Times New Roman" w:eastAsia="Times New Roman" w:hAnsi="Times New Roman" w:cs="Times New Roman"/>
          <w:sz w:val="24"/>
        </w:rPr>
        <w:t xml:space="preserve"> DAVID L TEWENDE</w:t>
      </w:r>
    </w:p>
    <w:p w:rsidR="00DF0840" w:rsidRDefault="00DF0840">
      <w:pPr>
        <w:spacing w:after="0" w:line="360" w:lineRule="auto"/>
        <w:jc w:val="both"/>
        <w:rPr>
          <w:rFonts w:ascii="Times New Roman" w:eastAsia="Times New Roman" w:hAnsi="Times New Roman" w:cs="Times New Roman"/>
          <w:b/>
          <w:sz w:val="24"/>
        </w:rPr>
      </w:pPr>
    </w:p>
    <w:p w:rsidR="00DF0840" w:rsidRDefault="00B3023B">
      <w:pPr>
        <w:spacing w:after="0" w:line="360" w:lineRule="auto"/>
        <w:ind w:left="3373" w:hanging="3373"/>
        <w:jc w:val="both"/>
        <w:rPr>
          <w:rFonts w:ascii="Times New Roman" w:eastAsia="Times New Roman" w:hAnsi="Times New Roman" w:cs="Times New Roman"/>
          <w:sz w:val="24"/>
        </w:rPr>
      </w:pPr>
      <w:r>
        <w:rPr>
          <w:rFonts w:ascii="Times New Roman" w:eastAsia="Times New Roman" w:hAnsi="Times New Roman" w:cs="Times New Roman"/>
          <w:b/>
          <w:sz w:val="24"/>
        </w:rPr>
        <w:t xml:space="preserve">RESEARCH TITLE   :      </w:t>
      </w:r>
      <w:r>
        <w:rPr>
          <w:rFonts w:ascii="Times New Roman" w:eastAsia="Times New Roman" w:hAnsi="Times New Roman" w:cs="Times New Roman"/>
          <w:sz w:val="24"/>
        </w:rPr>
        <w:t xml:space="preserve"> THE EFFECTS OF MOPNETARY POLICY ON FINANCIAL SECTOR STABILITY SUB SAHARAN AFRICA (2008-2022)</w:t>
      </w:r>
    </w:p>
    <w:p w:rsidR="00DF0840" w:rsidRDefault="00DF0840">
      <w:pPr>
        <w:spacing w:after="0" w:line="360" w:lineRule="auto"/>
        <w:jc w:val="both"/>
        <w:rPr>
          <w:rFonts w:ascii="Times New Roman" w:eastAsia="Times New Roman" w:hAnsi="Times New Roman" w:cs="Times New Roman"/>
          <w:b/>
          <w:sz w:val="24"/>
        </w:rPr>
      </w:pPr>
    </w:p>
    <w:p w:rsidR="00DF0840" w:rsidRDefault="00B3023B">
      <w:pPr>
        <w:spacing w:after="0" w:line="360" w:lineRule="auto"/>
        <w:ind w:left="3494" w:hanging="3494"/>
        <w:jc w:val="both"/>
        <w:rPr>
          <w:rFonts w:ascii="Times New Roman" w:eastAsia="Times New Roman" w:hAnsi="Times New Roman" w:cs="Times New Roman"/>
          <w:sz w:val="24"/>
        </w:rPr>
      </w:pPr>
      <w:r>
        <w:rPr>
          <w:rFonts w:ascii="Times New Roman" w:eastAsia="Times New Roman" w:hAnsi="Times New Roman" w:cs="Times New Roman"/>
          <w:b/>
          <w:sz w:val="24"/>
        </w:rPr>
        <w:t xml:space="preserve">DEGREE TITLE    :          </w:t>
      </w:r>
      <w:r>
        <w:rPr>
          <w:rFonts w:ascii="Times New Roman" w:eastAsia="Times New Roman" w:hAnsi="Times New Roman" w:cs="Times New Roman"/>
          <w:sz w:val="24"/>
        </w:rPr>
        <w:t xml:space="preserve"> BACHELOR OF SCIENCE (HONOURS)</w:t>
      </w:r>
    </w:p>
    <w:p w:rsidR="00DF0840" w:rsidRDefault="00B3023B">
      <w:pPr>
        <w:spacing w:after="0" w:line="360" w:lineRule="auto"/>
        <w:ind w:firstLine="3360"/>
        <w:jc w:val="both"/>
        <w:rPr>
          <w:rFonts w:ascii="Times New Roman" w:eastAsia="Times New Roman" w:hAnsi="Times New Roman" w:cs="Times New Roman"/>
          <w:sz w:val="24"/>
        </w:rPr>
      </w:pPr>
      <w:r>
        <w:rPr>
          <w:rFonts w:ascii="Times New Roman" w:eastAsia="Times New Roman" w:hAnsi="Times New Roman" w:cs="Times New Roman"/>
          <w:sz w:val="24"/>
        </w:rPr>
        <w:t>DEGREE IN ECONOMICS</w:t>
      </w:r>
    </w:p>
    <w:p w:rsidR="00DF0840" w:rsidRDefault="00DF0840">
      <w:pPr>
        <w:spacing w:after="0" w:line="360" w:lineRule="auto"/>
        <w:jc w:val="both"/>
        <w:rPr>
          <w:rFonts w:ascii="Times New Roman" w:eastAsia="Times New Roman" w:hAnsi="Times New Roman" w:cs="Times New Roman"/>
          <w:b/>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YEAR COMPLETED:        </w:t>
      </w:r>
      <w:r>
        <w:rPr>
          <w:rFonts w:ascii="Times New Roman" w:eastAsia="Times New Roman" w:hAnsi="Times New Roman" w:cs="Times New Roman"/>
          <w:sz w:val="24"/>
        </w:rPr>
        <w:t>2024</w:t>
      </w: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Permission is here granted to the </w:t>
      </w:r>
      <w:proofErr w:type="spellStart"/>
      <w:r>
        <w:rPr>
          <w:rFonts w:ascii="Times New Roman" w:eastAsia="Times New Roman" w:hAnsi="Times New Roman" w:cs="Times New Roman"/>
          <w:sz w:val="24"/>
        </w:rPr>
        <w:t>Bindura</w:t>
      </w:r>
      <w:proofErr w:type="spellEnd"/>
      <w:r>
        <w:rPr>
          <w:rFonts w:ascii="Times New Roman" w:eastAsia="Times New Roman" w:hAnsi="Times New Roman" w:cs="Times New Roman"/>
          <w:sz w:val="24"/>
        </w:rPr>
        <w:t xml:space="preserve"> University of Science Education to produce single copies of the research scholarly and </w:t>
      </w:r>
      <w:proofErr w:type="spellStart"/>
      <w:r>
        <w:rPr>
          <w:rFonts w:ascii="Times New Roman" w:eastAsia="Times New Roman" w:hAnsi="Times New Roman" w:cs="Times New Roman"/>
          <w:sz w:val="24"/>
        </w:rPr>
        <w:t>and</w:t>
      </w:r>
      <w:proofErr w:type="spellEnd"/>
      <w:r>
        <w:rPr>
          <w:rFonts w:ascii="Times New Roman" w:eastAsia="Times New Roman" w:hAnsi="Times New Roman" w:cs="Times New Roman"/>
          <w:sz w:val="24"/>
        </w:rPr>
        <w:t xml:space="preserve"> scientific research purposes only. The author reserves other publication rights and neither the project nor extensive extra</w:t>
      </w:r>
      <w:r>
        <w:rPr>
          <w:rFonts w:ascii="Times New Roman" w:eastAsia="Times New Roman" w:hAnsi="Times New Roman" w:cs="Times New Roman"/>
          <w:sz w:val="24"/>
        </w:rPr>
        <w:t>cts from it may be printed or otherwise reproduce without the author’s written permission.</w:t>
      </w:r>
    </w:p>
    <w:p w:rsidR="00DF0840" w:rsidRDefault="00DF0840">
      <w:pPr>
        <w:spacing w:after="0" w:line="360" w:lineRule="auto"/>
        <w:jc w:val="both"/>
        <w:rPr>
          <w:rFonts w:ascii="Times New Roman" w:eastAsia="Times New Roman" w:hAnsi="Times New Roman" w:cs="Times New Roman"/>
          <w:b/>
          <w:sz w:val="24"/>
        </w:rPr>
      </w:pP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Signed.......................... David L </w:t>
      </w:r>
      <w:proofErr w:type="spellStart"/>
      <w:r>
        <w:rPr>
          <w:rFonts w:ascii="Times New Roman" w:eastAsia="Times New Roman" w:hAnsi="Times New Roman" w:cs="Times New Roman"/>
          <w:b/>
          <w:sz w:val="24"/>
        </w:rPr>
        <w:t>Tewende</w:t>
      </w:r>
      <w:proofErr w:type="spellEnd"/>
      <w:r>
        <w:rPr>
          <w:rFonts w:ascii="Times New Roman" w:eastAsia="Times New Roman" w:hAnsi="Times New Roman" w:cs="Times New Roman"/>
          <w:b/>
          <w:sz w:val="24"/>
        </w:rPr>
        <w:t xml:space="preserve">........ </w:t>
      </w:r>
    </w:p>
    <w:p w:rsidR="00DF0840" w:rsidRDefault="00DF0840">
      <w:pPr>
        <w:spacing w:after="0" w:line="360" w:lineRule="auto"/>
        <w:jc w:val="both"/>
        <w:rPr>
          <w:rFonts w:ascii="Times New Roman" w:eastAsia="Times New Roman" w:hAnsi="Times New Roman" w:cs="Times New Roman"/>
          <w:b/>
          <w:sz w:val="24"/>
        </w:rPr>
      </w:pP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Date................. /.................... /.....................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PERMANENT ADDRESS: 16110</w:t>
      </w:r>
      <w:r>
        <w:rPr>
          <w:rFonts w:ascii="Times New Roman" w:eastAsia="Times New Roman" w:hAnsi="Times New Roman" w:cs="Times New Roman"/>
          <w:sz w:val="24"/>
        </w:rPr>
        <w:t xml:space="preserve"> STONERIDGE,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WATERFALLS, </w:t>
      </w: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HARARE</w:t>
      </w:r>
      <w:r>
        <w:rPr>
          <w:rFonts w:ascii="Times New Roman" w:eastAsia="Times New Roman" w:hAnsi="Times New Roman" w:cs="Times New Roman"/>
          <w:b/>
          <w:sz w:val="24"/>
        </w:rPr>
        <w:t xml:space="preserve"> </w:t>
      </w: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B3023B">
      <w:pPr>
        <w:spacing w:after="0" w:line="240" w:lineRule="auto"/>
        <w:jc w:val="both"/>
        <w:rPr>
          <w:rFonts w:ascii="Calibri" w:eastAsia="Calibri" w:hAnsi="Calibri" w:cs="Calibri"/>
        </w:rPr>
      </w:pPr>
      <w:r>
        <w:object w:dxaOrig="8124" w:dyaOrig="10980">
          <v:rect id="rectole0000000001" o:spid="_x0000_i1026" style="width:406.5pt;height:549pt" o:ole="" o:preferrelative="t" stroked="f">
            <v:imagedata r:id="rId7" o:title=""/>
          </v:rect>
          <o:OLEObject Type="Embed" ProgID="StaticDib" ShapeID="rectole0000000001" DrawAspect="Content" ObjectID="_1788778271" r:id="rId8"/>
        </w:object>
      </w: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keepNext/>
        <w:keepLines/>
        <w:spacing w:before="360" w:after="120" w:line="360" w:lineRule="auto"/>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B3023B">
      <w:pPr>
        <w:keepNext/>
        <w:keepLines/>
        <w:spacing w:before="360"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DEDICATION</w:t>
      </w: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Dedicated to my loving family, who have been my rock throughout this journey your unwavering support, encouragement, and love have meant the world to me. To my friends, who have been a constant source of inspiration and </w:t>
      </w:r>
      <w:proofErr w:type="gramStart"/>
      <w:r>
        <w:rPr>
          <w:rFonts w:ascii="Times New Roman" w:eastAsia="Times New Roman" w:hAnsi="Times New Roman" w:cs="Times New Roman"/>
          <w:sz w:val="24"/>
        </w:rPr>
        <w:t>motivation.</w:t>
      </w:r>
      <w:proofErr w:type="gramEnd"/>
      <w:r>
        <w:rPr>
          <w:rFonts w:ascii="Times New Roman" w:eastAsia="Times New Roman" w:hAnsi="Times New Roman" w:cs="Times New Roman"/>
          <w:sz w:val="24"/>
        </w:rPr>
        <w:t xml:space="preserve"> Your presence in my life</w:t>
      </w:r>
      <w:r>
        <w:rPr>
          <w:rFonts w:ascii="Times New Roman" w:eastAsia="Times New Roman" w:hAnsi="Times New Roman" w:cs="Times New Roman"/>
          <w:sz w:val="24"/>
        </w:rPr>
        <w:t xml:space="preserve"> has made a significant difference. This achievement is a testament to your collective efforts and belief in me. Thank you for being my pillars of strength. I am forever grateful.</w:t>
      </w: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B3023B">
      <w:pPr>
        <w:keepNext/>
        <w:keepLines/>
        <w:spacing w:before="360"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ABSTRACT</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sz w:val="24"/>
        </w:rPr>
        <w:lastRenderedPageBreak/>
        <w:t>This study assessed the relationship among monetary policy and financial sector stability in Sub-Saharan Africa. Harnessing panel data scrutiny, the researchers found that increases in interest rates had a beneficial effect on financial sector stability, a</w:t>
      </w:r>
      <w:r>
        <w:rPr>
          <w:rFonts w:ascii="Times New Roman" w:eastAsia="Times New Roman" w:hAnsi="Times New Roman" w:cs="Times New Roman"/>
          <w:sz w:val="24"/>
        </w:rPr>
        <w:t>s measured by bank non-performing loans, while increases in foreign direct investment had a negative impact. The research concludes that monetary policy substantially impacts financial stability in this region. It recommends that central banks in Sub-Sahar</w:t>
      </w:r>
      <w:r>
        <w:rPr>
          <w:rFonts w:ascii="Times New Roman" w:eastAsia="Times New Roman" w:hAnsi="Times New Roman" w:cs="Times New Roman"/>
          <w:sz w:val="24"/>
        </w:rPr>
        <w:t>an Africa tighten monetary policy via scaling back money availability and boosting interest rates towards promoting financial sector stability. The study also suggests that countries in the region, including those using multi-currency regimes like Zimbabwe</w:t>
      </w:r>
      <w:r>
        <w:rPr>
          <w:rFonts w:ascii="Times New Roman" w:eastAsia="Times New Roman" w:hAnsi="Times New Roman" w:cs="Times New Roman"/>
          <w:sz w:val="24"/>
        </w:rPr>
        <w:t>, could consider adopting stronger regional currencies like the rand or kwacha to help achieve greater financial stability.</w:t>
      </w: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B3023B">
      <w:pPr>
        <w:keepNext/>
        <w:keepLines/>
        <w:spacing w:before="360"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Contents</w:t>
      </w:r>
    </w:p>
    <w:p w:rsidR="00DF0840" w:rsidRDefault="00B3023B">
      <w:pPr>
        <w:tabs>
          <w:tab w:val="right" w:leader="dot" w:pos="8296"/>
        </w:tabs>
        <w:spacing w:after="10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t>RELEASE FORM</w:t>
      </w:r>
      <w:r>
        <w:rPr>
          <w:rFonts w:ascii="Times New Roman" w:eastAsia="Times New Roman" w:hAnsi="Times New Roman" w:cs="Times New Roman"/>
          <w:sz w:val="24"/>
        </w:rPr>
        <w:tab/>
        <w:t>I</w:t>
      </w:r>
    </w:p>
    <w:p w:rsidR="00DF0840" w:rsidRDefault="00B3023B">
      <w:pPr>
        <w:tabs>
          <w:tab w:val="right" w:leader="dot" w:pos="8296"/>
        </w:tabs>
        <w:spacing w:after="10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t>RESEARCH APPROVAL FORM</w:t>
      </w:r>
      <w:r>
        <w:rPr>
          <w:rFonts w:ascii="Times New Roman" w:eastAsia="Times New Roman" w:hAnsi="Times New Roman" w:cs="Times New Roman"/>
          <w:sz w:val="24"/>
        </w:rPr>
        <w:tab/>
        <w:t>II</w:t>
      </w:r>
    </w:p>
    <w:p w:rsidR="00DF0840" w:rsidRDefault="00B3023B">
      <w:pPr>
        <w:tabs>
          <w:tab w:val="right" w:leader="dot" w:pos="8296"/>
        </w:tabs>
        <w:spacing w:after="10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lastRenderedPageBreak/>
        <w:t>DEDICATION</w:t>
      </w:r>
      <w:r>
        <w:rPr>
          <w:rFonts w:ascii="Times New Roman" w:eastAsia="Times New Roman" w:hAnsi="Times New Roman" w:cs="Times New Roman"/>
          <w:sz w:val="24"/>
        </w:rPr>
        <w:tab/>
        <w:t>III</w:t>
      </w:r>
    </w:p>
    <w:p w:rsidR="00DF0840" w:rsidRDefault="00B3023B">
      <w:pPr>
        <w:tabs>
          <w:tab w:val="right" w:leader="dot" w:pos="8296"/>
        </w:tabs>
        <w:spacing w:after="10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t>ABSTRACT</w:t>
      </w:r>
      <w:r>
        <w:rPr>
          <w:rFonts w:ascii="Times New Roman" w:eastAsia="Times New Roman" w:hAnsi="Times New Roman" w:cs="Times New Roman"/>
          <w:sz w:val="24"/>
        </w:rPr>
        <w:tab/>
        <w:t>IV</w:t>
      </w:r>
    </w:p>
    <w:p w:rsidR="00DF0840" w:rsidRDefault="00B3023B">
      <w:pPr>
        <w:tabs>
          <w:tab w:val="right" w:leader="dot" w:pos="8296"/>
        </w:tabs>
        <w:spacing w:after="10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t>Contents</w:t>
      </w:r>
      <w:r>
        <w:rPr>
          <w:rFonts w:ascii="Times New Roman" w:eastAsia="Times New Roman" w:hAnsi="Times New Roman" w:cs="Times New Roman"/>
          <w:sz w:val="24"/>
        </w:rPr>
        <w:tab/>
        <w:t>V</w:t>
      </w:r>
    </w:p>
    <w:p w:rsidR="00DF0840" w:rsidRDefault="00B3023B">
      <w:pPr>
        <w:tabs>
          <w:tab w:val="right" w:leader="dot" w:pos="8296"/>
        </w:tabs>
        <w:spacing w:after="10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t>LIST OF TABLES</w:t>
      </w:r>
      <w:r>
        <w:rPr>
          <w:rFonts w:ascii="Times New Roman" w:eastAsia="Times New Roman" w:hAnsi="Times New Roman" w:cs="Times New Roman"/>
          <w:sz w:val="24"/>
        </w:rPr>
        <w:tab/>
        <w:t>VII</w:t>
      </w:r>
    </w:p>
    <w:p w:rsidR="00DF0840" w:rsidRDefault="00B3023B">
      <w:pPr>
        <w:tabs>
          <w:tab w:val="right" w:leader="dot" w:pos="8296"/>
        </w:tabs>
        <w:spacing w:after="10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t>LIST OF ACRONYMS</w:t>
      </w:r>
      <w:r>
        <w:rPr>
          <w:rFonts w:ascii="Times New Roman" w:eastAsia="Times New Roman" w:hAnsi="Times New Roman" w:cs="Times New Roman"/>
          <w:sz w:val="24"/>
        </w:rPr>
        <w:tab/>
        <w:t>VIII</w:t>
      </w:r>
    </w:p>
    <w:p w:rsidR="00DF0840" w:rsidRDefault="00B3023B">
      <w:pPr>
        <w:tabs>
          <w:tab w:val="right" w:leader="dot" w:pos="8296"/>
        </w:tabs>
        <w:spacing w:after="10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t>ACKNOWLEDGEMENTS</w:t>
      </w:r>
      <w:r>
        <w:rPr>
          <w:rFonts w:ascii="Times New Roman" w:eastAsia="Times New Roman" w:hAnsi="Times New Roman" w:cs="Times New Roman"/>
          <w:sz w:val="24"/>
        </w:rPr>
        <w:tab/>
        <w:t>IX</w:t>
      </w:r>
    </w:p>
    <w:p w:rsidR="00DF0840" w:rsidRDefault="00B3023B">
      <w:pPr>
        <w:tabs>
          <w:tab w:val="right" w:leader="dot" w:pos="8296"/>
        </w:tabs>
        <w:spacing w:after="10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t>CHAPTER 1</w:t>
      </w:r>
      <w:r>
        <w:rPr>
          <w:rFonts w:ascii="Times New Roman" w:eastAsia="Times New Roman" w:hAnsi="Times New Roman" w:cs="Times New Roman"/>
          <w:sz w:val="24"/>
        </w:rPr>
        <w:tab/>
        <w:t>1</w:t>
      </w:r>
    </w:p>
    <w:p w:rsidR="00DF0840" w:rsidRDefault="00B3023B">
      <w:pPr>
        <w:tabs>
          <w:tab w:val="right" w:leader="dot" w:pos="8296"/>
        </w:tabs>
        <w:spacing w:after="10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t>INTRODUCTION</w:t>
      </w:r>
      <w:r>
        <w:rPr>
          <w:rFonts w:ascii="Times New Roman" w:eastAsia="Times New Roman" w:hAnsi="Times New Roman" w:cs="Times New Roman"/>
          <w:sz w:val="24"/>
        </w:rPr>
        <w:tab/>
        <w:t>1</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1.0.0 INTRODUCTION</w:t>
      </w:r>
      <w:r>
        <w:rPr>
          <w:rFonts w:ascii="Times New Roman" w:eastAsia="Times New Roman" w:hAnsi="Times New Roman" w:cs="Times New Roman"/>
          <w:sz w:val="24"/>
        </w:rPr>
        <w:tab/>
        <w:t>1</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1.1.0 Background of the sturdy</w:t>
      </w:r>
      <w:r>
        <w:rPr>
          <w:rFonts w:ascii="Times New Roman" w:eastAsia="Times New Roman" w:hAnsi="Times New Roman" w:cs="Times New Roman"/>
          <w:sz w:val="24"/>
        </w:rPr>
        <w:tab/>
        <w:t>3</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1.2.0Problem Statement</w:t>
      </w:r>
      <w:r>
        <w:rPr>
          <w:rFonts w:ascii="Times New Roman" w:eastAsia="Times New Roman" w:hAnsi="Times New Roman" w:cs="Times New Roman"/>
          <w:sz w:val="24"/>
        </w:rPr>
        <w:tab/>
        <w:t>9</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1.4.0 Research Questions</w:t>
      </w:r>
      <w:r>
        <w:rPr>
          <w:rFonts w:ascii="Times New Roman" w:eastAsia="Times New Roman" w:hAnsi="Times New Roman" w:cs="Times New Roman"/>
          <w:sz w:val="24"/>
        </w:rPr>
        <w:tab/>
        <w:t>10</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1.5.0 Significance</w:t>
      </w:r>
      <w:r>
        <w:rPr>
          <w:rFonts w:ascii="Times New Roman" w:eastAsia="Times New Roman" w:hAnsi="Times New Roman" w:cs="Times New Roman"/>
          <w:sz w:val="24"/>
        </w:rPr>
        <w:tab/>
        <w:t>10</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1.6.0 Assumption of the Sturdy</w:t>
      </w:r>
      <w:r>
        <w:rPr>
          <w:rFonts w:ascii="Times New Roman" w:eastAsia="Times New Roman" w:hAnsi="Times New Roman" w:cs="Times New Roman"/>
          <w:sz w:val="24"/>
        </w:rPr>
        <w:tab/>
        <w:t>11</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1.6.0 Scope</w:t>
      </w:r>
      <w:r>
        <w:rPr>
          <w:rFonts w:ascii="Times New Roman" w:eastAsia="Times New Roman" w:hAnsi="Times New Roman" w:cs="Times New Roman"/>
          <w:sz w:val="24"/>
        </w:rPr>
        <w:tab/>
        <w:t>12</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1.7 Limit</w:t>
      </w:r>
      <w:r>
        <w:rPr>
          <w:rFonts w:ascii="Times New Roman" w:eastAsia="Times New Roman" w:hAnsi="Times New Roman" w:cs="Times New Roman"/>
          <w:color w:val="0000FF"/>
          <w:sz w:val="24"/>
          <w:u w:val="single"/>
        </w:rPr>
        <w:t>ations.</w:t>
      </w:r>
      <w:r>
        <w:rPr>
          <w:rFonts w:ascii="Times New Roman" w:eastAsia="Times New Roman" w:hAnsi="Times New Roman" w:cs="Times New Roman"/>
          <w:sz w:val="24"/>
        </w:rPr>
        <w:tab/>
        <w:t>12</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1.8.0 Delimitation</w:t>
      </w:r>
      <w:r>
        <w:rPr>
          <w:rFonts w:ascii="Times New Roman" w:eastAsia="Times New Roman" w:hAnsi="Times New Roman" w:cs="Times New Roman"/>
          <w:sz w:val="24"/>
        </w:rPr>
        <w:tab/>
        <w:t>13</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1.9 Definition of terms</w:t>
      </w:r>
      <w:r>
        <w:rPr>
          <w:rFonts w:ascii="Times New Roman" w:eastAsia="Times New Roman" w:hAnsi="Times New Roman" w:cs="Times New Roman"/>
          <w:sz w:val="24"/>
        </w:rPr>
        <w:tab/>
        <w:t>14</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1.9.0 Chapter Summary</w:t>
      </w:r>
      <w:r>
        <w:rPr>
          <w:rFonts w:ascii="Times New Roman" w:eastAsia="Times New Roman" w:hAnsi="Times New Roman" w:cs="Times New Roman"/>
          <w:sz w:val="24"/>
        </w:rPr>
        <w:tab/>
        <w:t>14</w:t>
      </w:r>
    </w:p>
    <w:p w:rsidR="00DF0840" w:rsidRDefault="00B3023B">
      <w:pPr>
        <w:tabs>
          <w:tab w:val="right" w:leader="dot" w:pos="8296"/>
        </w:tabs>
        <w:spacing w:after="10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t>CHAPTER TWO</w:t>
      </w:r>
      <w:r>
        <w:rPr>
          <w:rFonts w:ascii="Times New Roman" w:eastAsia="Times New Roman" w:hAnsi="Times New Roman" w:cs="Times New Roman"/>
          <w:sz w:val="24"/>
        </w:rPr>
        <w:tab/>
        <w:t>15</w:t>
      </w:r>
    </w:p>
    <w:p w:rsidR="00DF0840" w:rsidRDefault="00B3023B">
      <w:pPr>
        <w:tabs>
          <w:tab w:val="right" w:leader="dot" w:pos="8296"/>
        </w:tabs>
        <w:spacing w:after="10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t>LITERATURE REVIEW</w:t>
      </w:r>
      <w:r>
        <w:rPr>
          <w:rFonts w:ascii="Times New Roman" w:eastAsia="Times New Roman" w:hAnsi="Times New Roman" w:cs="Times New Roman"/>
          <w:sz w:val="24"/>
        </w:rPr>
        <w:tab/>
        <w:t>15</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2.0 Introduction</w:t>
      </w:r>
      <w:r>
        <w:rPr>
          <w:rFonts w:ascii="Times New Roman" w:eastAsia="Times New Roman" w:hAnsi="Times New Roman" w:cs="Times New Roman"/>
          <w:sz w:val="24"/>
        </w:rPr>
        <w:tab/>
        <w:t>15</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2.1.0 Theoretical Literature Review</w:t>
      </w:r>
      <w:r>
        <w:rPr>
          <w:rFonts w:ascii="Times New Roman" w:eastAsia="Times New Roman" w:hAnsi="Times New Roman" w:cs="Times New Roman"/>
          <w:sz w:val="24"/>
        </w:rPr>
        <w:tab/>
        <w:t>15</w:t>
      </w:r>
    </w:p>
    <w:p w:rsidR="00DF0840" w:rsidRDefault="00B3023B">
      <w:pPr>
        <w:tabs>
          <w:tab w:val="right" w:leader="dot" w:pos="8296"/>
        </w:tabs>
        <w:spacing w:after="100" w:line="360" w:lineRule="auto"/>
        <w:ind w:left="400"/>
        <w:rPr>
          <w:rFonts w:ascii="Times New Roman" w:eastAsia="Times New Roman" w:hAnsi="Times New Roman" w:cs="Times New Roman"/>
          <w:sz w:val="24"/>
        </w:rPr>
      </w:pPr>
      <w:r>
        <w:rPr>
          <w:rFonts w:ascii="Times New Roman" w:eastAsia="Times New Roman" w:hAnsi="Times New Roman" w:cs="Times New Roman"/>
          <w:color w:val="0000FF"/>
          <w:sz w:val="24"/>
          <w:u w:val="single"/>
        </w:rPr>
        <w:t>2.1.1 Transmission Mechanisms of Monetary Policy</w:t>
      </w:r>
      <w:r>
        <w:rPr>
          <w:rFonts w:ascii="Times New Roman" w:eastAsia="Times New Roman" w:hAnsi="Times New Roman" w:cs="Times New Roman"/>
          <w:sz w:val="24"/>
        </w:rPr>
        <w:tab/>
        <w:t>15</w:t>
      </w:r>
    </w:p>
    <w:p w:rsidR="00DF0840" w:rsidRDefault="00B3023B">
      <w:pPr>
        <w:tabs>
          <w:tab w:val="right" w:leader="dot" w:pos="8296"/>
        </w:tabs>
        <w:spacing w:after="100" w:line="360" w:lineRule="auto"/>
        <w:ind w:left="400"/>
        <w:rPr>
          <w:rFonts w:ascii="Times New Roman" w:eastAsia="Times New Roman" w:hAnsi="Times New Roman" w:cs="Times New Roman"/>
          <w:sz w:val="24"/>
        </w:rPr>
      </w:pPr>
      <w:r>
        <w:rPr>
          <w:rFonts w:ascii="Times New Roman" w:eastAsia="Times New Roman" w:hAnsi="Times New Roman" w:cs="Times New Roman"/>
          <w:color w:val="0000FF"/>
          <w:sz w:val="24"/>
          <w:u w:val="single"/>
        </w:rPr>
        <w:t>2.1.2 The Quantity Theory of Money</w:t>
      </w:r>
      <w:r>
        <w:rPr>
          <w:rFonts w:ascii="Times New Roman" w:eastAsia="Times New Roman" w:hAnsi="Times New Roman" w:cs="Times New Roman"/>
          <w:sz w:val="24"/>
        </w:rPr>
        <w:tab/>
        <w:t>18</w:t>
      </w:r>
    </w:p>
    <w:p w:rsidR="00DF0840" w:rsidRDefault="00B3023B">
      <w:pPr>
        <w:tabs>
          <w:tab w:val="right" w:leader="dot" w:pos="8296"/>
        </w:tabs>
        <w:spacing w:after="100" w:line="360" w:lineRule="auto"/>
        <w:ind w:left="400"/>
        <w:rPr>
          <w:rFonts w:ascii="Times New Roman" w:eastAsia="Times New Roman" w:hAnsi="Times New Roman" w:cs="Times New Roman"/>
          <w:sz w:val="24"/>
        </w:rPr>
      </w:pPr>
      <w:r>
        <w:rPr>
          <w:rFonts w:ascii="Times New Roman" w:eastAsia="Times New Roman" w:hAnsi="Times New Roman" w:cs="Times New Roman"/>
          <w:color w:val="0000FF"/>
          <w:sz w:val="24"/>
          <w:u w:val="single"/>
        </w:rPr>
        <w:lastRenderedPageBreak/>
        <w:t>2.1.3 The Currency Substitution theory and Gresham‘s Law</w:t>
      </w:r>
      <w:r>
        <w:rPr>
          <w:rFonts w:ascii="Times New Roman" w:eastAsia="Times New Roman" w:hAnsi="Times New Roman" w:cs="Times New Roman"/>
          <w:sz w:val="24"/>
        </w:rPr>
        <w:tab/>
        <w:t>19</w:t>
      </w:r>
    </w:p>
    <w:p w:rsidR="00DF0840" w:rsidRDefault="00B3023B">
      <w:pPr>
        <w:tabs>
          <w:tab w:val="right" w:leader="dot" w:pos="8296"/>
        </w:tabs>
        <w:spacing w:after="100" w:line="360" w:lineRule="auto"/>
        <w:ind w:left="400"/>
        <w:rPr>
          <w:rFonts w:ascii="Times New Roman" w:eastAsia="Times New Roman" w:hAnsi="Times New Roman" w:cs="Times New Roman"/>
          <w:sz w:val="24"/>
        </w:rPr>
      </w:pPr>
      <w:r>
        <w:rPr>
          <w:rFonts w:ascii="Times New Roman" w:eastAsia="Times New Roman" w:hAnsi="Times New Roman" w:cs="Times New Roman"/>
          <w:color w:val="0000FF"/>
          <w:sz w:val="24"/>
          <w:u w:val="single"/>
        </w:rPr>
        <w:t>2.1.4 Modern Money Theory (MMT)</w:t>
      </w:r>
      <w:r>
        <w:rPr>
          <w:rFonts w:ascii="Times New Roman" w:eastAsia="Times New Roman" w:hAnsi="Times New Roman" w:cs="Times New Roman"/>
          <w:sz w:val="24"/>
        </w:rPr>
        <w:tab/>
        <w:t>21</w:t>
      </w:r>
    </w:p>
    <w:p w:rsidR="00DF0840" w:rsidRDefault="00B3023B">
      <w:pPr>
        <w:tabs>
          <w:tab w:val="right" w:leader="dot" w:pos="8296"/>
        </w:tabs>
        <w:spacing w:after="100" w:line="360" w:lineRule="auto"/>
        <w:ind w:left="400"/>
        <w:rPr>
          <w:rFonts w:ascii="Times New Roman" w:eastAsia="Times New Roman" w:hAnsi="Times New Roman" w:cs="Times New Roman"/>
          <w:sz w:val="24"/>
        </w:rPr>
      </w:pPr>
      <w:r>
        <w:rPr>
          <w:rFonts w:ascii="Times New Roman" w:eastAsia="Times New Roman" w:hAnsi="Times New Roman" w:cs="Times New Roman"/>
          <w:color w:val="0000FF"/>
          <w:sz w:val="24"/>
          <w:u w:val="single"/>
        </w:rPr>
        <w:t>2.1.5 Financial Instability Hypothesis (FIH) and the Legal Financial Theory (LFT).</w:t>
      </w:r>
      <w:r>
        <w:rPr>
          <w:rFonts w:ascii="Times New Roman" w:eastAsia="Times New Roman" w:hAnsi="Times New Roman" w:cs="Times New Roman"/>
          <w:sz w:val="24"/>
        </w:rPr>
        <w:tab/>
        <w:t>23</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2.2. Empirical Literature Review</w:t>
      </w:r>
      <w:r>
        <w:rPr>
          <w:rFonts w:ascii="Times New Roman" w:eastAsia="Times New Roman" w:hAnsi="Times New Roman" w:cs="Times New Roman"/>
          <w:sz w:val="24"/>
        </w:rPr>
        <w:tab/>
        <w:t>23</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2</w:t>
      </w:r>
      <w:r>
        <w:rPr>
          <w:rFonts w:ascii="Times New Roman" w:eastAsia="Times New Roman" w:hAnsi="Times New Roman" w:cs="Times New Roman"/>
          <w:color w:val="0000FF"/>
          <w:sz w:val="24"/>
          <w:u w:val="single"/>
        </w:rPr>
        <w:t>.3. Research gap analysis</w:t>
      </w:r>
      <w:r>
        <w:rPr>
          <w:rFonts w:ascii="Times New Roman" w:eastAsia="Times New Roman" w:hAnsi="Times New Roman" w:cs="Times New Roman"/>
          <w:sz w:val="24"/>
        </w:rPr>
        <w:tab/>
        <w:t>26</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2.4. Chapter Summary</w:t>
      </w:r>
      <w:r>
        <w:rPr>
          <w:rFonts w:ascii="Times New Roman" w:eastAsia="Times New Roman" w:hAnsi="Times New Roman" w:cs="Times New Roman"/>
          <w:sz w:val="24"/>
        </w:rPr>
        <w:tab/>
        <w:t>27</w:t>
      </w:r>
    </w:p>
    <w:p w:rsidR="00DF0840" w:rsidRDefault="00B3023B">
      <w:pPr>
        <w:tabs>
          <w:tab w:val="right" w:leader="dot" w:pos="8296"/>
        </w:tabs>
        <w:spacing w:after="10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t>CHAPTER THREE</w:t>
      </w:r>
      <w:r>
        <w:rPr>
          <w:rFonts w:ascii="Times New Roman" w:eastAsia="Times New Roman" w:hAnsi="Times New Roman" w:cs="Times New Roman"/>
          <w:sz w:val="24"/>
        </w:rPr>
        <w:tab/>
        <w:t>28</w:t>
      </w:r>
    </w:p>
    <w:p w:rsidR="00DF0840" w:rsidRDefault="00B3023B">
      <w:pPr>
        <w:tabs>
          <w:tab w:val="right" w:leader="dot" w:pos="8296"/>
        </w:tabs>
        <w:spacing w:after="10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t>RESEARCH METHODOLOGY</w:t>
      </w:r>
      <w:r>
        <w:rPr>
          <w:rFonts w:ascii="Times New Roman" w:eastAsia="Times New Roman" w:hAnsi="Times New Roman" w:cs="Times New Roman"/>
          <w:sz w:val="24"/>
        </w:rPr>
        <w:tab/>
        <w:t>28</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3.0. Introduction</w:t>
      </w:r>
      <w:r>
        <w:rPr>
          <w:rFonts w:ascii="Times New Roman" w:eastAsia="Times New Roman" w:hAnsi="Times New Roman" w:cs="Times New Roman"/>
          <w:sz w:val="24"/>
        </w:rPr>
        <w:tab/>
        <w:t>28</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3.1. Research Design</w:t>
      </w:r>
      <w:r>
        <w:rPr>
          <w:rFonts w:ascii="Times New Roman" w:eastAsia="Times New Roman" w:hAnsi="Times New Roman" w:cs="Times New Roman"/>
          <w:sz w:val="24"/>
        </w:rPr>
        <w:tab/>
        <w:t>28</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3.2.0 Data source</w:t>
      </w:r>
      <w:r>
        <w:rPr>
          <w:rFonts w:ascii="Times New Roman" w:eastAsia="Times New Roman" w:hAnsi="Times New Roman" w:cs="Times New Roman"/>
          <w:sz w:val="24"/>
        </w:rPr>
        <w:tab/>
        <w:t>31</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3.4. Definition and Justification of Variables</w:t>
      </w:r>
      <w:r>
        <w:rPr>
          <w:rFonts w:ascii="Times New Roman" w:eastAsia="Times New Roman" w:hAnsi="Times New Roman" w:cs="Times New Roman"/>
          <w:sz w:val="24"/>
        </w:rPr>
        <w:tab/>
        <w:t>34</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3.5.0Dependent Variables</w:t>
      </w:r>
      <w:r>
        <w:rPr>
          <w:rFonts w:ascii="Times New Roman" w:eastAsia="Times New Roman" w:hAnsi="Times New Roman" w:cs="Times New Roman"/>
          <w:sz w:val="24"/>
        </w:rPr>
        <w:tab/>
        <w:t>34</w:t>
      </w:r>
    </w:p>
    <w:p w:rsidR="00DF0840" w:rsidRDefault="00B3023B">
      <w:pPr>
        <w:tabs>
          <w:tab w:val="right" w:leader="dot" w:pos="8296"/>
        </w:tabs>
        <w:spacing w:after="100" w:line="360" w:lineRule="auto"/>
        <w:ind w:left="400"/>
        <w:rPr>
          <w:rFonts w:ascii="Times New Roman" w:eastAsia="Times New Roman" w:hAnsi="Times New Roman" w:cs="Times New Roman"/>
          <w:sz w:val="24"/>
        </w:rPr>
      </w:pPr>
      <w:r>
        <w:rPr>
          <w:rFonts w:ascii="Times New Roman" w:eastAsia="Times New Roman" w:hAnsi="Times New Roman" w:cs="Times New Roman"/>
          <w:color w:val="0000FF"/>
          <w:sz w:val="24"/>
          <w:u w:val="single"/>
        </w:rPr>
        <w:t>3.5.1 Bank Non-Per</w:t>
      </w:r>
      <w:r>
        <w:rPr>
          <w:rFonts w:ascii="Times New Roman" w:eastAsia="Times New Roman" w:hAnsi="Times New Roman" w:cs="Times New Roman"/>
          <w:color w:val="0000FF"/>
          <w:sz w:val="24"/>
          <w:u w:val="single"/>
        </w:rPr>
        <w:t>forming Loan</w:t>
      </w:r>
      <w:r>
        <w:rPr>
          <w:rFonts w:ascii="Times New Roman" w:eastAsia="Times New Roman" w:hAnsi="Times New Roman" w:cs="Times New Roman"/>
          <w:sz w:val="24"/>
        </w:rPr>
        <w:tab/>
        <w:t>34</w:t>
      </w:r>
    </w:p>
    <w:p w:rsidR="00DF0840" w:rsidRDefault="00B3023B">
      <w:pPr>
        <w:tabs>
          <w:tab w:val="right" w:leader="dot" w:pos="8296"/>
        </w:tabs>
        <w:spacing w:after="100" w:line="360" w:lineRule="auto"/>
        <w:ind w:left="400"/>
        <w:rPr>
          <w:rFonts w:ascii="Times New Roman" w:eastAsia="Times New Roman" w:hAnsi="Times New Roman" w:cs="Times New Roman"/>
          <w:sz w:val="24"/>
        </w:rPr>
      </w:pPr>
      <w:r>
        <w:rPr>
          <w:rFonts w:ascii="Times New Roman" w:eastAsia="Times New Roman" w:hAnsi="Times New Roman" w:cs="Times New Roman"/>
          <w:color w:val="0000FF"/>
          <w:sz w:val="24"/>
          <w:u w:val="single"/>
        </w:rPr>
        <w:t>3.5.2Independent Variables</w:t>
      </w:r>
      <w:r>
        <w:rPr>
          <w:rFonts w:ascii="Times New Roman" w:eastAsia="Times New Roman" w:hAnsi="Times New Roman" w:cs="Times New Roman"/>
          <w:sz w:val="24"/>
        </w:rPr>
        <w:tab/>
        <w:t>35</w:t>
      </w:r>
    </w:p>
    <w:p w:rsidR="00DF0840" w:rsidRDefault="00B3023B">
      <w:pPr>
        <w:tabs>
          <w:tab w:val="right" w:leader="dot" w:pos="8296"/>
        </w:tabs>
        <w:spacing w:after="100" w:line="360" w:lineRule="auto"/>
        <w:ind w:left="400"/>
        <w:rPr>
          <w:rFonts w:ascii="Times New Roman" w:eastAsia="Times New Roman" w:hAnsi="Times New Roman" w:cs="Times New Roman"/>
          <w:sz w:val="24"/>
        </w:rPr>
      </w:pPr>
      <w:r>
        <w:rPr>
          <w:rFonts w:ascii="Times New Roman" w:eastAsia="Times New Roman" w:hAnsi="Times New Roman" w:cs="Times New Roman"/>
          <w:color w:val="0000FF"/>
          <w:sz w:val="24"/>
          <w:u w:val="single"/>
        </w:rPr>
        <w:t>3.5.3 Interest Rates</w:t>
      </w:r>
      <w:r>
        <w:rPr>
          <w:rFonts w:ascii="Times New Roman" w:eastAsia="Times New Roman" w:hAnsi="Times New Roman" w:cs="Times New Roman"/>
          <w:sz w:val="24"/>
        </w:rPr>
        <w:tab/>
        <w:t>35</w:t>
      </w:r>
    </w:p>
    <w:p w:rsidR="00DF0840" w:rsidRDefault="00B3023B">
      <w:pPr>
        <w:tabs>
          <w:tab w:val="right" w:leader="dot" w:pos="8296"/>
        </w:tabs>
        <w:spacing w:after="100" w:line="360" w:lineRule="auto"/>
        <w:ind w:left="400"/>
        <w:rPr>
          <w:rFonts w:ascii="Times New Roman" w:eastAsia="Times New Roman" w:hAnsi="Times New Roman" w:cs="Times New Roman"/>
          <w:sz w:val="24"/>
        </w:rPr>
      </w:pPr>
      <w:r>
        <w:rPr>
          <w:rFonts w:ascii="Times New Roman" w:eastAsia="Times New Roman" w:hAnsi="Times New Roman" w:cs="Times New Roman"/>
          <w:color w:val="0000FF"/>
          <w:sz w:val="24"/>
          <w:u w:val="single"/>
        </w:rPr>
        <w:t>3.5.5 Inflation</w:t>
      </w:r>
      <w:r>
        <w:rPr>
          <w:rFonts w:ascii="Times New Roman" w:eastAsia="Times New Roman" w:hAnsi="Times New Roman" w:cs="Times New Roman"/>
          <w:sz w:val="24"/>
        </w:rPr>
        <w:tab/>
        <w:t>35</w:t>
      </w:r>
    </w:p>
    <w:p w:rsidR="00DF0840" w:rsidRDefault="00B3023B">
      <w:pPr>
        <w:tabs>
          <w:tab w:val="right" w:leader="dot" w:pos="8296"/>
        </w:tabs>
        <w:spacing w:after="100" w:line="360" w:lineRule="auto"/>
        <w:ind w:left="400"/>
        <w:rPr>
          <w:rFonts w:ascii="Times New Roman" w:eastAsia="Times New Roman" w:hAnsi="Times New Roman" w:cs="Times New Roman"/>
          <w:sz w:val="24"/>
        </w:rPr>
      </w:pPr>
      <w:r>
        <w:rPr>
          <w:rFonts w:ascii="Times New Roman" w:eastAsia="Times New Roman" w:hAnsi="Times New Roman" w:cs="Times New Roman"/>
          <w:color w:val="0000FF"/>
          <w:sz w:val="24"/>
          <w:u w:val="single"/>
        </w:rPr>
        <w:t>3.5.6 Political stability</w:t>
      </w:r>
      <w:r>
        <w:rPr>
          <w:rFonts w:ascii="Times New Roman" w:eastAsia="Times New Roman" w:hAnsi="Times New Roman" w:cs="Times New Roman"/>
          <w:sz w:val="24"/>
        </w:rPr>
        <w:tab/>
        <w:t>36</w:t>
      </w:r>
    </w:p>
    <w:p w:rsidR="00DF0840" w:rsidRDefault="00B3023B">
      <w:pPr>
        <w:tabs>
          <w:tab w:val="right" w:leader="dot" w:pos="8296"/>
        </w:tabs>
        <w:spacing w:after="100" w:line="360" w:lineRule="auto"/>
        <w:ind w:left="400"/>
        <w:rPr>
          <w:rFonts w:ascii="Times New Roman" w:eastAsia="Times New Roman" w:hAnsi="Times New Roman" w:cs="Times New Roman"/>
          <w:sz w:val="24"/>
        </w:rPr>
      </w:pPr>
      <w:r>
        <w:rPr>
          <w:rFonts w:ascii="Times New Roman" w:eastAsia="Times New Roman" w:hAnsi="Times New Roman" w:cs="Times New Roman"/>
          <w:color w:val="0000FF"/>
          <w:sz w:val="24"/>
          <w:u w:val="single"/>
        </w:rPr>
        <w:t>3.5.7 GDP Deflator</w:t>
      </w:r>
      <w:r>
        <w:rPr>
          <w:rFonts w:ascii="Times New Roman" w:eastAsia="Times New Roman" w:hAnsi="Times New Roman" w:cs="Times New Roman"/>
          <w:sz w:val="24"/>
        </w:rPr>
        <w:tab/>
        <w:t>36</w:t>
      </w:r>
    </w:p>
    <w:p w:rsidR="00DF0840" w:rsidRDefault="00B3023B">
      <w:pPr>
        <w:tabs>
          <w:tab w:val="right" w:leader="dot" w:pos="8296"/>
        </w:tabs>
        <w:spacing w:after="100" w:line="360" w:lineRule="auto"/>
        <w:ind w:left="400"/>
        <w:rPr>
          <w:rFonts w:ascii="Times New Roman" w:eastAsia="Times New Roman" w:hAnsi="Times New Roman" w:cs="Times New Roman"/>
          <w:sz w:val="24"/>
        </w:rPr>
      </w:pPr>
      <w:r>
        <w:rPr>
          <w:rFonts w:ascii="Times New Roman" w:eastAsia="Times New Roman" w:hAnsi="Times New Roman" w:cs="Times New Roman"/>
          <w:color w:val="0000FF"/>
          <w:sz w:val="24"/>
          <w:u w:val="single"/>
        </w:rPr>
        <w:t>3.5.8 Foreign Direct Investment</w:t>
      </w:r>
      <w:r>
        <w:rPr>
          <w:rFonts w:ascii="Times New Roman" w:eastAsia="Times New Roman" w:hAnsi="Times New Roman" w:cs="Times New Roman"/>
          <w:sz w:val="24"/>
        </w:rPr>
        <w:tab/>
        <w:t>37</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3.6. Estimation Techniques</w:t>
      </w:r>
      <w:r>
        <w:rPr>
          <w:rFonts w:ascii="Times New Roman" w:eastAsia="Times New Roman" w:hAnsi="Times New Roman" w:cs="Times New Roman"/>
          <w:sz w:val="24"/>
        </w:rPr>
        <w:tab/>
        <w:t>38</w:t>
      </w:r>
    </w:p>
    <w:p w:rsidR="00DF0840" w:rsidRDefault="00B3023B">
      <w:pPr>
        <w:tabs>
          <w:tab w:val="right" w:leader="dot" w:pos="8296"/>
        </w:tabs>
        <w:spacing w:after="100" w:line="360" w:lineRule="auto"/>
        <w:ind w:left="400"/>
        <w:rPr>
          <w:rFonts w:ascii="Times New Roman" w:eastAsia="Times New Roman" w:hAnsi="Times New Roman" w:cs="Times New Roman"/>
          <w:sz w:val="24"/>
        </w:rPr>
      </w:pPr>
      <w:r>
        <w:rPr>
          <w:rFonts w:ascii="Times New Roman" w:eastAsia="Times New Roman" w:hAnsi="Times New Roman" w:cs="Times New Roman"/>
          <w:color w:val="0000FF"/>
          <w:sz w:val="24"/>
          <w:u w:val="single"/>
        </w:rPr>
        <w:t>3.6.1 Fixed Effects Model</w:t>
      </w:r>
      <w:r>
        <w:rPr>
          <w:rFonts w:ascii="Times New Roman" w:eastAsia="Times New Roman" w:hAnsi="Times New Roman" w:cs="Times New Roman"/>
          <w:sz w:val="24"/>
        </w:rPr>
        <w:tab/>
        <w:t>39</w:t>
      </w:r>
    </w:p>
    <w:p w:rsidR="00DF0840" w:rsidRDefault="00B3023B">
      <w:pPr>
        <w:tabs>
          <w:tab w:val="right" w:leader="dot" w:pos="8296"/>
        </w:tabs>
        <w:spacing w:after="100" w:line="360" w:lineRule="auto"/>
        <w:ind w:left="400"/>
        <w:rPr>
          <w:rFonts w:ascii="Times New Roman" w:eastAsia="Times New Roman" w:hAnsi="Times New Roman" w:cs="Times New Roman"/>
          <w:sz w:val="24"/>
        </w:rPr>
      </w:pPr>
      <w:r>
        <w:rPr>
          <w:rFonts w:ascii="Times New Roman" w:eastAsia="Times New Roman" w:hAnsi="Times New Roman" w:cs="Times New Roman"/>
          <w:color w:val="0000FF"/>
          <w:sz w:val="24"/>
          <w:u w:val="single"/>
        </w:rPr>
        <w:t>3.6.2 Random effects model (REM)</w:t>
      </w:r>
      <w:r>
        <w:rPr>
          <w:rFonts w:ascii="Times New Roman" w:eastAsia="Times New Roman" w:hAnsi="Times New Roman" w:cs="Times New Roman"/>
          <w:sz w:val="24"/>
        </w:rPr>
        <w:tab/>
        <w:t>40</w:t>
      </w:r>
    </w:p>
    <w:p w:rsidR="00DF0840" w:rsidRDefault="00B3023B">
      <w:pPr>
        <w:tabs>
          <w:tab w:val="right" w:leader="dot" w:pos="8296"/>
        </w:tabs>
        <w:spacing w:after="100" w:line="360" w:lineRule="auto"/>
        <w:ind w:left="400"/>
        <w:rPr>
          <w:rFonts w:ascii="Times New Roman" w:eastAsia="Times New Roman" w:hAnsi="Times New Roman" w:cs="Times New Roman"/>
          <w:sz w:val="24"/>
        </w:rPr>
      </w:pPr>
      <w:r>
        <w:rPr>
          <w:rFonts w:ascii="Times New Roman" w:eastAsia="Times New Roman" w:hAnsi="Times New Roman" w:cs="Times New Roman"/>
          <w:color w:val="0000FF"/>
          <w:sz w:val="24"/>
          <w:u w:val="single"/>
        </w:rPr>
        <w:t>3.6.3Unit root test</w:t>
      </w:r>
      <w:r>
        <w:rPr>
          <w:rFonts w:ascii="Times New Roman" w:eastAsia="Times New Roman" w:hAnsi="Times New Roman" w:cs="Times New Roman"/>
          <w:sz w:val="24"/>
        </w:rPr>
        <w:tab/>
        <w:t>40</w:t>
      </w:r>
    </w:p>
    <w:p w:rsidR="00DF0840" w:rsidRDefault="00B3023B">
      <w:pPr>
        <w:tabs>
          <w:tab w:val="right" w:leader="dot" w:pos="8296"/>
        </w:tabs>
        <w:spacing w:after="100" w:line="360" w:lineRule="auto"/>
        <w:ind w:left="400"/>
        <w:rPr>
          <w:rFonts w:ascii="Times New Roman" w:eastAsia="Times New Roman" w:hAnsi="Times New Roman" w:cs="Times New Roman"/>
          <w:sz w:val="24"/>
        </w:rPr>
      </w:pPr>
      <w:r>
        <w:rPr>
          <w:rFonts w:ascii="Times New Roman" w:eastAsia="Times New Roman" w:hAnsi="Times New Roman" w:cs="Times New Roman"/>
          <w:color w:val="0000FF"/>
          <w:sz w:val="24"/>
          <w:u w:val="single"/>
        </w:rPr>
        <w:t>3.5.4 The Haussmann Test</w:t>
      </w:r>
      <w:r>
        <w:rPr>
          <w:rFonts w:ascii="Times New Roman" w:eastAsia="Times New Roman" w:hAnsi="Times New Roman" w:cs="Times New Roman"/>
          <w:sz w:val="24"/>
        </w:rPr>
        <w:tab/>
        <w:t>41</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lastRenderedPageBreak/>
        <w:t>3.6.0 Conclusion</w:t>
      </w:r>
      <w:r>
        <w:rPr>
          <w:rFonts w:ascii="Times New Roman" w:eastAsia="Times New Roman" w:hAnsi="Times New Roman" w:cs="Times New Roman"/>
          <w:sz w:val="24"/>
        </w:rPr>
        <w:tab/>
        <w:t>41</w:t>
      </w:r>
    </w:p>
    <w:p w:rsidR="00DF0840" w:rsidRDefault="00B3023B">
      <w:pPr>
        <w:tabs>
          <w:tab w:val="right" w:leader="dot" w:pos="8296"/>
        </w:tabs>
        <w:spacing w:after="10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t>CHAPTER FOUR</w:t>
      </w:r>
      <w:r>
        <w:rPr>
          <w:rFonts w:ascii="Times New Roman" w:eastAsia="Times New Roman" w:hAnsi="Times New Roman" w:cs="Times New Roman"/>
          <w:sz w:val="24"/>
        </w:rPr>
        <w:tab/>
        <w:t>42</w:t>
      </w:r>
    </w:p>
    <w:p w:rsidR="00DF0840" w:rsidRDefault="00B3023B">
      <w:pPr>
        <w:tabs>
          <w:tab w:val="right" w:leader="dot" w:pos="8296"/>
        </w:tabs>
        <w:spacing w:after="10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t>DATA PRESENTATION ANALYSIS AND PRESENTATION RESULTS</w:t>
      </w:r>
      <w:r>
        <w:rPr>
          <w:rFonts w:ascii="Times New Roman" w:eastAsia="Times New Roman" w:hAnsi="Times New Roman" w:cs="Times New Roman"/>
          <w:sz w:val="24"/>
        </w:rPr>
        <w:tab/>
        <w:t>42</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4.0.0 INTRODUCTION</w:t>
      </w:r>
      <w:r>
        <w:rPr>
          <w:rFonts w:ascii="Times New Roman" w:eastAsia="Times New Roman" w:hAnsi="Times New Roman" w:cs="Times New Roman"/>
          <w:sz w:val="24"/>
        </w:rPr>
        <w:tab/>
        <w:t>42</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4.1 Descriptive statistics</w:t>
      </w:r>
      <w:r>
        <w:rPr>
          <w:rFonts w:ascii="Times New Roman" w:eastAsia="Times New Roman" w:hAnsi="Times New Roman" w:cs="Times New Roman"/>
          <w:sz w:val="24"/>
        </w:rPr>
        <w:tab/>
        <w:t>42</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4.3.0 Summary</w:t>
      </w:r>
      <w:r>
        <w:rPr>
          <w:rFonts w:ascii="Times New Roman" w:eastAsia="Times New Roman" w:hAnsi="Times New Roman" w:cs="Times New Roman"/>
          <w:sz w:val="24"/>
        </w:rPr>
        <w:tab/>
        <w:t>49</w:t>
      </w:r>
    </w:p>
    <w:p w:rsidR="00DF0840" w:rsidRDefault="00B3023B">
      <w:pPr>
        <w:tabs>
          <w:tab w:val="right" w:leader="dot" w:pos="8296"/>
        </w:tabs>
        <w:spacing w:after="10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t>CHAPTER FIVE</w:t>
      </w:r>
      <w:r>
        <w:rPr>
          <w:rFonts w:ascii="Times New Roman" w:eastAsia="Times New Roman" w:hAnsi="Times New Roman" w:cs="Times New Roman"/>
          <w:sz w:val="24"/>
        </w:rPr>
        <w:tab/>
        <w:t>51</w:t>
      </w:r>
    </w:p>
    <w:p w:rsidR="00DF0840" w:rsidRDefault="00B3023B">
      <w:pPr>
        <w:tabs>
          <w:tab w:val="right" w:leader="dot" w:pos="8296"/>
        </w:tabs>
        <w:spacing w:after="10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t>SUMMARY AND POLICY RECOMMANDATIONS.</w:t>
      </w:r>
      <w:r>
        <w:rPr>
          <w:rFonts w:ascii="Times New Roman" w:eastAsia="Times New Roman" w:hAnsi="Times New Roman" w:cs="Times New Roman"/>
          <w:sz w:val="24"/>
        </w:rPr>
        <w:tab/>
        <w:t>51</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5.0 Introduction</w:t>
      </w:r>
      <w:r>
        <w:rPr>
          <w:rFonts w:ascii="Times New Roman" w:eastAsia="Times New Roman" w:hAnsi="Times New Roman" w:cs="Times New Roman"/>
          <w:sz w:val="24"/>
        </w:rPr>
        <w:tab/>
        <w:t>51</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5.1 Summary of the Study</w:t>
      </w:r>
      <w:r>
        <w:rPr>
          <w:rFonts w:ascii="Times New Roman" w:eastAsia="Times New Roman" w:hAnsi="Times New Roman" w:cs="Times New Roman"/>
          <w:sz w:val="24"/>
        </w:rPr>
        <w:tab/>
        <w:t>51</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5.2 Policy Recommendations</w:t>
      </w:r>
      <w:r>
        <w:rPr>
          <w:rFonts w:ascii="Times New Roman" w:eastAsia="Times New Roman" w:hAnsi="Times New Roman" w:cs="Times New Roman"/>
          <w:sz w:val="24"/>
        </w:rPr>
        <w:tab/>
        <w:t>52</w:t>
      </w:r>
    </w:p>
    <w:p w:rsidR="00DF0840" w:rsidRDefault="00B3023B">
      <w:pPr>
        <w:tabs>
          <w:tab w:val="right" w:leader="dot" w:pos="8296"/>
        </w:tabs>
        <w:spacing w:after="100" w:line="360" w:lineRule="auto"/>
        <w:ind w:left="200"/>
        <w:rPr>
          <w:rFonts w:ascii="Times New Roman" w:eastAsia="Times New Roman" w:hAnsi="Times New Roman" w:cs="Times New Roman"/>
          <w:sz w:val="24"/>
        </w:rPr>
      </w:pPr>
      <w:r>
        <w:rPr>
          <w:rFonts w:ascii="Times New Roman" w:eastAsia="Times New Roman" w:hAnsi="Times New Roman" w:cs="Times New Roman"/>
          <w:color w:val="0000FF"/>
          <w:sz w:val="24"/>
          <w:u w:val="single"/>
        </w:rPr>
        <w:t>5.3 Suggestion of Areas for further study.</w:t>
      </w:r>
      <w:r>
        <w:rPr>
          <w:rFonts w:ascii="Times New Roman" w:eastAsia="Times New Roman" w:hAnsi="Times New Roman" w:cs="Times New Roman"/>
          <w:sz w:val="24"/>
        </w:rPr>
        <w:tab/>
        <w:t>52</w:t>
      </w:r>
    </w:p>
    <w:p w:rsidR="00DF0840" w:rsidRDefault="00B3023B">
      <w:pPr>
        <w:tabs>
          <w:tab w:val="right" w:leader="dot" w:pos="8296"/>
        </w:tabs>
        <w:spacing w:after="10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t>References</w:t>
      </w:r>
      <w:r>
        <w:rPr>
          <w:rFonts w:ascii="Times New Roman" w:eastAsia="Times New Roman" w:hAnsi="Times New Roman" w:cs="Times New Roman"/>
          <w:sz w:val="24"/>
        </w:rPr>
        <w:tab/>
        <w:t>54</w:t>
      </w:r>
    </w:p>
    <w:p w:rsidR="00DF0840" w:rsidRDefault="00B3023B">
      <w:pPr>
        <w:tabs>
          <w:tab w:val="right" w:leader="dot" w:pos="8296"/>
        </w:tabs>
        <w:spacing w:after="10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t>APPENDICES</w:t>
      </w:r>
      <w:r>
        <w:rPr>
          <w:rFonts w:ascii="Times New Roman" w:eastAsia="Times New Roman" w:hAnsi="Times New Roman" w:cs="Times New Roman"/>
          <w:sz w:val="24"/>
        </w:rPr>
        <w:tab/>
        <w:t>61</w:t>
      </w: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B3023B">
      <w:pPr>
        <w:keepNext/>
        <w:keepLines/>
        <w:spacing w:before="360"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LIST OF TABLES</w:t>
      </w:r>
    </w:p>
    <w:p w:rsidR="00DF0840" w:rsidRDefault="00DF0840">
      <w:pPr>
        <w:spacing w:after="0" w:line="240" w:lineRule="auto"/>
        <w:jc w:val="both"/>
        <w:rPr>
          <w:rFonts w:ascii="Calibri" w:eastAsia="Calibri" w:hAnsi="Calibri" w:cs="Calibri"/>
        </w:rPr>
      </w:pPr>
    </w:p>
    <w:p w:rsidR="00DF0840" w:rsidRDefault="00B3023B">
      <w:pPr>
        <w:spacing w:after="0" w:line="240" w:lineRule="auto"/>
        <w:jc w:val="both"/>
        <w:rPr>
          <w:rFonts w:ascii="Calibri" w:eastAsia="Calibri" w:hAnsi="Calibri" w:cs="Calibri"/>
          <w:sz w:val="24"/>
        </w:rPr>
      </w:pPr>
      <w:r>
        <w:rPr>
          <w:rFonts w:ascii="Times New Roman" w:eastAsia="Times New Roman" w:hAnsi="Times New Roman" w:cs="Times New Roman"/>
          <w:sz w:val="24"/>
        </w:rPr>
        <w:t>Table 1: Summary of Explanatory Variables</w:t>
      </w:r>
      <w:r>
        <w:rPr>
          <w:rFonts w:ascii="Calibri" w:eastAsia="Calibri" w:hAnsi="Calibri" w:cs="Calibri"/>
          <w:sz w:val="24"/>
        </w:rPr>
        <w:t>………………………………………………………………50</w:t>
      </w:r>
    </w:p>
    <w:p w:rsidR="00DF0840" w:rsidRDefault="00DF0840">
      <w:pPr>
        <w:spacing w:after="0" w:line="240" w:lineRule="auto"/>
        <w:jc w:val="both"/>
        <w:rPr>
          <w:rFonts w:ascii="Calibri" w:eastAsia="Calibri" w:hAnsi="Calibri" w:cs="Calibri"/>
        </w:rPr>
      </w:pPr>
    </w:p>
    <w:p w:rsidR="00DF0840" w:rsidRDefault="00DF0840">
      <w:pPr>
        <w:spacing w:after="0" w:line="240" w:lineRule="auto"/>
        <w:jc w:val="both"/>
        <w:rPr>
          <w:rFonts w:ascii="Calibri" w:eastAsia="Calibri" w:hAnsi="Calibri" w:cs="Calibri"/>
        </w:rPr>
      </w:pPr>
    </w:p>
    <w:p w:rsidR="00DF0840" w:rsidRDefault="00DF0840">
      <w:pPr>
        <w:spacing w:after="0" w:line="240" w:lineRule="auto"/>
        <w:jc w:val="both"/>
        <w:rPr>
          <w:rFonts w:ascii="Calibri" w:eastAsia="Calibri" w:hAnsi="Calibri" w:cs="Calibri"/>
        </w:rPr>
      </w:pPr>
    </w:p>
    <w:p w:rsidR="00DF0840" w:rsidRDefault="00B3023B">
      <w:pPr>
        <w:spacing w:after="0" w:line="240" w:lineRule="auto"/>
        <w:jc w:val="both"/>
        <w:rPr>
          <w:rFonts w:ascii="Calibri" w:eastAsia="Calibri" w:hAnsi="Calibri" w:cs="Calibri"/>
          <w:sz w:val="24"/>
        </w:rPr>
      </w:pPr>
      <w:r>
        <w:rPr>
          <w:rFonts w:ascii="Times New Roman" w:eastAsia="Times New Roman" w:hAnsi="Times New Roman" w:cs="Times New Roman"/>
          <w:sz w:val="24"/>
        </w:rPr>
        <w:t>Table 2: Summary of Dependent variables by year</w:t>
      </w:r>
      <w:r>
        <w:rPr>
          <w:rFonts w:ascii="Calibri" w:eastAsia="Calibri" w:hAnsi="Calibri" w:cs="Calibri"/>
          <w:sz w:val="24"/>
        </w:rPr>
        <w:t>…………………………………………………….50</w:t>
      </w:r>
    </w:p>
    <w:p w:rsidR="00DF0840" w:rsidRDefault="00DF0840">
      <w:pPr>
        <w:spacing w:after="0" w:line="240" w:lineRule="auto"/>
        <w:jc w:val="both"/>
        <w:rPr>
          <w:rFonts w:ascii="Calibri" w:eastAsia="Calibri" w:hAnsi="Calibri" w:cs="Calibri"/>
        </w:rPr>
      </w:pPr>
    </w:p>
    <w:p w:rsidR="00DF0840" w:rsidRDefault="00DF0840">
      <w:pPr>
        <w:spacing w:after="0" w:line="240" w:lineRule="auto"/>
        <w:jc w:val="both"/>
        <w:rPr>
          <w:rFonts w:ascii="Calibri" w:eastAsia="Calibri" w:hAnsi="Calibri" w:cs="Calibri"/>
        </w:rPr>
      </w:pPr>
    </w:p>
    <w:p w:rsidR="00DF0840" w:rsidRDefault="00DF0840">
      <w:pPr>
        <w:spacing w:after="0" w:line="240" w:lineRule="auto"/>
        <w:jc w:val="both"/>
        <w:rPr>
          <w:rFonts w:ascii="Calibri" w:eastAsia="Calibri" w:hAnsi="Calibri" w:cs="Calibri"/>
        </w:rPr>
      </w:pPr>
    </w:p>
    <w:p w:rsidR="00DF0840" w:rsidRDefault="00B3023B">
      <w:pPr>
        <w:spacing w:after="0" w:line="240" w:lineRule="auto"/>
        <w:jc w:val="both"/>
        <w:rPr>
          <w:rFonts w:ascii="Calibri" w:eastAsia="Calibri" w:hAnsi="Calibri" w:cs="Calibri"/>
          <w:sz w:val="24"/>
        </w:rPr>
      </w:pPr>
      <w:r>
        <w:rPr>
          <w:rFonts w:ascii="Times New Roman" w:eastAsia="Times New Roman" w:hAnsi="Times New Roman" w:cs="Times New Roman"/>
          <w:sz w:val="24"/>
        </w:rPr>
        <w:t>Table 3: Interest Rate Spread by year</w:t>
      </w:r>
      <w:r>
        <w:rPr>
          <w:rFonts w:ascii="Calibri" w:eastAsia="Calibri" w:hAnsi="Calibri" w:cs="Calibri"/>
          <w:sz w:val="24"/>
        </w:rPr>
        <w:t>……………………………………………………………………………53</w:t>
      </w:r>
    </w:p>
    <w:p w:rsidR="00DF0840" w:rsidRDefault="00DF0840">
      <w:pPr>
        <w:spacing w:after="0" w:line="240" w:lineRule="auto"/>
        <w:jc w:val="both"/>
        <w:rPr>
          <w:rFonts w:ascii="Calibri" w:eastAsia="Calibri" w:hAnsi="Calibri" w:cs="Calibri"/>
        </w:rPr>
      </w:pPr>
    </w:p>
    <w:p w:rsidR="00DF0840" w:rsidRDefault="00DF0840">
      <w:pPr>
        <w:spacing w:after="0" w:line="240" w:lineRule="auto"/>
        <w:jc w:val="both"/>
        <w:rPr>
          <w:rFonts w:ascii="Calibri" w:eastAsia="Calibri" w:hAnsi="Calibri" w:cs="Calibri"/>
        </w:rPr>
      </w:pPr>
    </w:p>
    <w:p w:rsidR="00DF0840" w:rsidRDefault="00DF0840">
      <w:pPr>
        <w:spacing w:after="0" w:line="240" w:lineRule="auto"/>
        <w:jc w:val="both"/>
        <w:rPr>
          <w:rFonts w:ascii="Calibri" w:eastAsia="Calibri" w:hAnsi="Calibri" w:cs="Calibri"/>
        </w:rPr>
      </w:pPr>
    </w:p>
    <w:p w:rsidR="00DF0840" w:rsidRDefault="00B3023B">
      <w:pPr>
        <w:spacing w:after="0" w:line="240" w:lineRule="auto"/>
        <w:jc w:val="both"/>
        <w:rPr>
          <w:rFonts w:ascii="Calibri" w:eastAsia="Calibri" w:hAnsi="Calibri" w:cs="Calibri"/>
          <w:sz w:val="24"/>
        </w:rPr>
      </w:pPr>
      <w:r>
        <w:rPr>
          <w:rFonts w:ascii="Times New Roman" w:eastAsia="Times New Roman" w:hAnsi="Times New Roman" w:cs="Times New Roman"/>
          <w:sz w:val="24"/>
        </w:rPr>
        <w:t>Table: 4 Fixed effects results</w:t>
      </w:r>
      <w:r>
        <w:rPr>
          <w:rFonts w:ascii="Calibri" w:eastAsia="Calibri" w:hAnsi="Calibri" w:cs="Calibri"/>
          <w:sz w:val="24"/>
        </w:rPr>
        <w:t>………………………</w:t>
      </w:r>
      <w:r>
        <w:rPr>
          <w:rFonts w:ascii="Calibri" w:eastAsia="Calibri" w:hAnsi="Calibri" w:cs="Calibri"/>
          <w:sz w:val="24"/>
        </w:rPr>
        <w:t>…………………………………………………………………...56</w:t>
      </w:r>
    </w:p>
    <w:p w:rsidR="00DF0840" w:rsidRDefault="00DF0840">
      <w:pPr>
        <w:spacing w:after="0" w:line="240" w:lineRule="auto"/>
        <w:jc w:val="both"/>
        <w:rPr>
          <w:rFonts w:ascii="Calibri" w:eastAsia="Calibri" w:hAnsi="Calibri" w:cs="Calibri"/>
        </w:rPr>
      </w:pPr>
    </w:p>
    <w:p w:rsidR="00DF0840" w:rsidRDefault="00DF0840">
      <w:pPr>
        <w:spacing w:after="0" w:line="240" w:lineRule="auto"/>
        <w:jc w:val="both"/>
        <w:rPr>
          <w:rFonts w:ascii="Calibri" w:eastAsia="Calibri" w:hAnsi="Calibri" w:cs="Calibri"/>
        </w:rPr>
      </w:pPr>
    </w:p>
    <w:p w:rsidR="00DF0840" w:rsidRDefault="00DF0840">
      <w:pPr>
        <w:spacing w:after="0" w:line="240" w:lineRule="auto"/>
        <w:jc w:val="both"/>
        <w:rPr>
          <w:rFonts w:ascii="Calibri" w:eastAsia="Calibri" w:hAnsi="Calibri" w:cs="Calibri"/>
        </w:rPr>
      </w:pP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Calibri" w:eastAsia="Calibri" w:hAnsi="Calibri" w:cs="Calibri"/>
          <w:sz w:val="24"/>
        </w:rPr>
      </w:pPr>
      <w:r>
        <w:rPr>
          <w:rFonts w:ascii="Times New Roman" w:eastAsia="Times New Roman" w:hAnsi="Times New Roman" w:cs="Times New Roman"/>
          <w:sz w:val="24"/>
        </w:rPr>
        <w:t>Table 5: Random effects results</w:t>
      </w:r>
      <w:r>
        <w:rPr>
          <w:rFonts w:ascii="Calibri" w:eastAsia="Calibri" w:hAnsi="Calibri" w:cs="Calibri"/>
          <w:sz w:val="24"/>
        </w:rPr>
        <w:t>……………………………………………………………………………………...57</w:t>
      </w: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p w:rsidR="00DF0840" w:rsidRDefault="00B3023B">
      <w:pPr>
        <w:spacing w:after="0" w:line="360" w:lineRule="auto"/>
        <w:jc w:val="both"/>
        <w:rPr>
          <w:rFonts w:ascii="Calibri" w:eastAsia="Calibri" w:hAnsi="Calibri" w:cs="Calibri"/>
          <w:sz w:val="24"/>
        </w:rPr>
      </w:pPr>
      <w:r>
        <w:rPr>
          <w:rFonts w:ascii="Times New Roman" w:eastAsia="Times New Roman" w:hAnsi="Times New Roman" w:cs="Times New Roman"/>
          <w:sz w:val="24"/>
        </w:rPr>
        <w:t>Table 6: Haussmann Test</w:t>
      </w:r>
      <w:r>
        <w:rPr>
          <w:rFonts w:ascii="Calibri" w:eastAsia="Calibri" w:hAnsi="Calibri" w:cs="Calibri"/>
          <w:sz w:val="24"/>
        </w:rPr>
        <w:t>……………………………………………………………………………………………………58</w:t>
      </w:r>
    </w:p>
    <w:p w:rsidR="00DF0840" w:rsidRDefault="00DF0840">
      <w:pPr>
        <w:spacing w:after="0" w:line="36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B3023B">
      <w:pPr>
        <w:keepNext/>
        <w:keepLines/>
        <w:spacing w:before="360"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LIST OF FIGURES</w:t>
      </w:r>
    </w:p>
    <w:p w:rsidR="00DF0840" w:rsidRDefault="00B3023B">
      <w:pPr>
        <w:tabs>
          <w:tab w:val="right" w:leader="dot" w:pos="8296"/>
        </w:tabs>
        <w:spacing w:after="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t>Figure 1. Trend of Financial Development Indicator in CEMAC.</w:t>
      </w:r>
      <w:r>
        <w:rPr>
          <w:rFonts w:ascii="Times New Roman" w:eastAsia="Times New Roman" w:hAnsi="Times New Roman" w:cs="Times New Roman"/>
          <w:sz w:val="24"/>
        </w:rPr>
        <w:tab/>
        <w:t>5</w:t>
      </w:r>
    </w:p>
    <w:p w:rsidR="00DF0840" w:rsidRDefault="00B3023B">
      <w:pPr>
        <w:tabs>
          <w:tab w:val="right" w:leader="dot" w:pos="8296"/>
        </w:tabs>
        <w:spacing w:after="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t>Figure 2. Trend of Non-performing loans</w:t>
      </w:r>
      <w:r>
        <w:rPr>
          <w:rFonts w:ascii="Times New Roman" w:eastAsia="Times New Roman" w:hAnsi="Times New Roman" w:cs="Times New Roman"/>
          <w:sz w:val="24"/>
        </w:rPr>
        <w:tab/>
        <w:t>6</w:t>
      </w:r>
    </w:p>
    <w:p w:rsidR="00DF0840" w:rsidRDefault="00B3023B">
      <w:pPr>
        <w:tabs>
          <w:tab w:val="right" w:leader="dot" w:pos="8296"/>
        </w:tabs>
        <w:spacing w:after="0" w:line="360" w:lineRule="auto"/>
        <w:rPr>
          <w:rFonts w:ascii="Times New Roman" w:eastAsia="Times New Roman" w:hAnsi="Times New Roman" w:cs="Times New Roman"/>
          <w:sz w:val="24"/>
        </w:rPr>
      </w:pPr>
      <w:r>
        <w:rPr>
          <w:rFonts w:ascii="Times New Roman" w:eastAsia="Times New Roman" w:hAnsi="Times New Roman" w:cs="Times New Roman"/>
          <w:color w:val="0000FF"/>
          <w:sz w:val="24"/>
          <w:u w:val="single"/>
        </w:rPr>
        <w:t>Figure 3.Trend of Inflation by Country</w:t>
      </w:r>
      <w:r>
        <w:rPr>
          <w:rFonts w:ascii="Times New Roman" w:eastAsia="Times New Roman" w:hAnsi="Times New Roman" w:cs="Times New Roman"/>
          <w:sz w:val="24"/>
        </w:rPr>
        <w:tab/>
        <w:t>7</w:t>
      </w:r>
    </w:p>
    <w:p w:rsidR="00DF0840" w:rsidRDefault="00DF0840">
      <w:pPr>
        <w:spacing w:after="0" w:line="360" w:lineRule="auto"/>
        <w:rPr>
          <w:rFonts w:ascii="Times New Roman" w:eastAsia="Times New Roman" w:hAnsi="Times New Roman" w:cs="Times New Roman"/>
          <w:sz w:val="24"/>
        </w:rPr>
      </w:pPr>
    </w:p>
    <w:p w:rsidR="00DF0840" w:rsidRDefault="00DF0840">
      <w:pPr>
        <w:spacing w:after="0" w:line="360" w:lineRule="auto"/>
        <w:rPr>
          <w:rFonts w:ascii="Times New Roman" w:eastAsia="Times New Roman" w:hAnsi="Times New Roman" w:cs="Times New Roman"/>
          <w:sz w:val="24"/>
        </w:rPr>
      </w:pPr>
    </w:p>
    <w:p w:rsidR="00DF0840" w:rsidRDefault="00DF0840">
      <w:pPr>
        <w:spacing w:after="0" w:line="360" w:lineRule="auto"/>
        <w:rPr>
          <w:rFonts w:ascii="Times New Roman" w:eastAsia="Times New Roman" w:hAnsi="Times New Roman" w:cs="Times New Roman"/>
          <w:sz w:val="24"/>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B3023B">
      <w:pPr>
        <w:keepNext/>
        <w:keepLines/>
        <w:spacing w:before="360"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LIST OF ACRONYMS</w:t>
      </w: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IMF                       International Monetary Fund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WBDI                     World Bank Development Indicators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QTM                      Quantity Theory Money</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MV                       Money Velocity</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MMT                     Modern Money Theory</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FIH        </w:t>
      </w:r>
      <w:r>
        <w:rPr>
          <w:rFonts w:ascii="Times New Roman" w:eastAsia="Times New Roman" w:hAnsi="Times New Roman" w:cs="Times New Roman"/>
          <w:sz w:val="24"/>
        </w:rPr>
        <w:t xml:space="preserve">               Financial Instability Hypothesis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CPI                       Consumer Price Index</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OLS                      Ordinary Least Squares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GLS                      General Least Squares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HPM                      High Powered Money</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GDP                      Gross Domestic Product</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ECB                      European Central Bank</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FAO                      Food Agriculture Organization</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CEMAC                   Central African Economic and Monetary   </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Community</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OMO</w:t>
      </w:r>
      <w:r>
        <w:rPr>
          <w:rFonts w:ascii="Times New Roman" w:eastAsia="Times New Roman" w:hAnsi="Times New Roman" w:cs="Times New Roman"/>
          <w:sz w:val="24"/>
        </w:rPr>
        <w:t xml:space="preserve">                     Open Market Operation</w:t>
      </w: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B3023B">
      <w:pPr>
        <w:keepNext/>
        <w:keepLines/>
        <w:spacing w:before="360"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ACKNOWLEDGEMENTS</w:t>
      </w:r>
    </w:p>
    <w:p w:rsidR="00DF0840" w:rsidRDefault="00DF0840">
      <w:pPr>
        <w:keepNext/>
        <w:keepLines/>
        <w:spacing w:before="360" w:after="120" w:line="360" w:lineRule="auto"/>
        <w:jc w:val="center"/>
        <w:rPr>
          <w:rFonts w:ascii="Times New Roman" w:eastAsia="Times New Roman" w:hAnsi="Times New Roman" w:cs="Times New Roman"/>
          <w:b/>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This project is the result of collaborative effort from many individuals.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I sincerely appreciate the consequential guidance and constructive support provided by my supervisor, throughout the progression of this work. I would love to convey my genuine indebtedness to my family. Thank you for the sacrifices you made to ensure the </w:t>
      </w:r>
      <w:r>
        <w:rPr>
          <w:rFonts w:ascii="Times New Roman" w:eastAsia="Times New Roman" w:hAnsi="Times New Roman" w:cs="Times New Roman"/>
          <w:sz w:val="24"/>
        </w:rPr>
        <w:t xml:space="preserve">successful completion of my studies, as well as your unwavering support and encouragement. I am deeply appreciative of your forbearance and empathy during the periods when I was fully devoted to and immersed in my studies. </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Additionally, I would wish to r</w:t>
      </w:r>
      <w:r>
        <w:rPr>
          <w:rFonts w:ascii="Times New Roman" w:eastAsia="Times New Roman" w:hAnsi="Times New Roman" w:cs="Times New Roman"/>
          <w:sz w:val="24"/>
        </w:rPr>
        <w:t xml:space="preserve">ecognize and express my appreciation for the contributions made by my fellow classmates from the Economics program at </w:t>
      </w:r>
      <w:proofErr w:type="spellStart"/>
      <w:r>
        <w:rPr>
          <w:rFonts w:ascii="Times New Roman" w:eastAsia="Times New Roman" w:hAnsi="Times New Roman" w:cs="Times New Roman"/>
          <w:sz w:val="24"/>
        </w:rPr>
        <w:t>Bindura</w:t>
      </w:r>
      <w:proofErr w:type="spellEnd"/>
      <w:r>
        <w:rPr>
          <w:rFonts w:ascii="Times New Roman" w:eastAsia="Times New Roman" w:hAnsi="Times New Roman" w:cs="Times New Roman"/>
          <w:sz w:val="24"/>
        </w:rPr>
        <w:t xml:space="preserve"> University of Science Education, graduating in the class of 2024.I am also grateful to all my lecturers, particularly those from t</w:t>
      </w:r>
      <w:r>
        <w:rPr>
          <w:rFonts w:ascii="Times New Roman" w:eastAsia="Times New Roman" w:hAnsi="Times New Roman" w:cs="Times New Roman"/>
          <w:sz w:val="24"/>
        </w:rPr>
        <w:t>he Department of Economics, for imparting their knowledge and expertise.</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Above all, I extend my heartfelt gratitude to the Almighty for bestowing upon me the blessings of good </w:t>
      </w:r>
      <w:r>
        <w:rPr>
          <w:rFonts w:ascii="Times New Roman" w:eastAsia="Times New Roman" w:hAnsi="Times New Roman" w:cs="Times New Roman"/>
          <w:sz w:val="24"/>
        </w:rPr>
        <w:lastRenderedPageBreak/>
        <w:t>health, necessary resources, peace of mind, and the precious gift of life. It is</w:t>
      </w:r>
      <w:r>
        <w:rPr>
          <w:rFonts w:ascii="Times New Roman" w:eastAsia="Times New Roman" w:hAnsi="Times New Roman" w:cs="Times New Roman"/>
          <w:sz w:val="24"/>
        </w:rPr>
        <w:t xml:space="preserve"> through these divine provisions that I was empowered to pursue and successfully complete my studies.</w:t>
      </w: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B3023B">
      <w:pPr>
        <w:keepNext/>
        <w:keepLines/>
        <w:spacing w:before="360"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CHAPTER I</w:t>
      </w:r>
    </w:p>
    <w:p w:rsidR="00DF0840" w:rsidRDefault="00DF0840">
      <w:pPr>
        <w:keepNext/>
        <w:keepLines/>
        <w:spacing w:before="360" w:after="120" w:line="360" w:lineRule="auto"/>
        <w:jc w:val="center"/>
        <w:rPr>
          <w:rFonts w:ascii="Times New Roman" w:eastAsia="Times New Roman" w:hAnsi="Times New Roman" w:cs="Times New Roman"/>
          <w:b/>
          <w:sz w:val="24"/>
        </w:rPr>
      </w:pPr>
    </w:p>
    <w:p w:rsidR="00DF0840" w:rsidRDefault="00DF0840">
      <w:pPr>
        <w:keepNext/>
        <w:keepLines/>
        <w:spacing w:before="360" w:after="120" w:line="360" w:lineRule="auto"/>
        <w:jc w:val="center"/>
        <w:rPr>
          <w:rFonts w:ascii="Times New Roman" w:eastAsia="Times New Roman" w:hAnsi="Times New Roman" w:cs="Times New Roman"/>
          <w:b/>
          <w:sz w:val="24"/>
        </w:rPr>
      </w:pPr>
    </w:p>
    <w:p w:rsidR="00DF0840" w:rsidRDefault="00B3023B">
      <w:pPr>
        <w:keepNext/>
        <w:keepLines/>
        <w:spacing w:before="360"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INTRODUCTION</w:t>
      </w:r>
    </w:p>
    <w:p w:rsidR="00DF0840" w:rsidRDefault="00DF0840">
      <w:pPr>
        <w:keepNext/>
        <w:keepLines/>
        <w:spacing w:before="360" w:after="120" w:line="360" w:lineRule="auto"/>
        <w:jc w:val="center"/>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B3023B">
      <w:pPr>
        <w:keepNext/>
        <w:keepLines/>
        <w:spacing w:before="160" w:after="12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1.0.0 INTRODUCTION</w:t>
      </w:r>
      <w:r>
        <w:rPr>
          <w:rFonts w:ascii="Times New Roman" w:eastAsia="Times New Roman" w:hAnsi="Times New Roman" w:cs="Times New Roman"/>
          <w:b/>
          <w:sz w:val="24"/>
        </w:rPr>
        <w:tab/>
      </w:r>
    </w:p>
    <w:p w:rsidR="00DF0840" w:rsidRDefault="00DF0840">
      <w:pPr>
        <w:spacing w:after="0" w:line="360" w:lineRule="auto"/>
        <w:jc w:val="both"/>
        <w:rPr>
          <w:rFonts w:ascii="Times New Roman" w:eastAsia="Times New Roman" w:hAnsi="Times New Roman" w:cs="Times New Roman"/>
          <w:b/>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Monetary policy plays a pivotal role in ensuring financial sector stability, which is integra</w:t>
      </w:r>
      <w:r>
        <w:rPr>
          <w:rFonts w:ascii="Times New Roman" w:eastAsia="Times New Roman" w:hAnsi="Times New Roman" w:cs="Times New Roman"/>
          <w:sz w:val="24"/>
        </w:rPr>
        <w:t xml:space="preserve">l to fostering sustainable economic growth and stability. Sub-Saharan Africa, a region known for its diverse economic landscape and evolving financial systems, has increasingly grappled with the </w:t>
      </w:r>
      <w:r>
        <w:rPr>
          <w:rFonts w:ascii="Times New Roman" w:eastAsia="Times New Roman" w:hAnsi="Times New Roman" w:cs="Times New Roman"/>
          <w:sz w:val="24"/>
        </w:rPr>
        <w:lastRenderedPageBreak/>
        <w:t>intersection of monetary policy actions and the resilience of</w:t>
      </w:r>
      <w:r>
        <w:rPr>
          <w:rFonts w:ascii="Times New Roman" w:eastAsia="Times New Roman" w:hAnsi="Times New Roman" w:cs="Times New Roman"/>
          <w:sz w:val="24"/>
        </w:rPr>
        <w:t xml:space="preserve"> its financial sector. Understanding the effects of monetary policy on financial sector stability in Sub-Saharan Africa within the timeframe of 2008 to 2022 is paramount to grasping the nuanced dynamics at play in this region's economic development. This d</w:t>
      </w:r>
      <w:r>
        <w:rPr>
          <w:rFonts w:ascii="Times New Roman" w:eastAsia="Times New Roman" w:hAnsi="Times New Roman" w:cs="Times New Roman"/>
          <w:sz w:val="24"/>
        </w:rPr>
        <w:t xml:space="preserve">iscussion regarding the correlation linking monetary policy </w:t>
      </w:r>
      <w:proofErr w:type="spellStart"/>
      <w:r>
        <w:rPr>
          <w:rFonts w:ascii="Times New Roman" w:eastAsia="Times New Roman" w:hAnsi="Times New Roman" w:cs="Times New Roman"/>
          <w:sz w:val="24"/>
        </w:rPr>
        <w:t>aalong</w:t>
      </w:r>
      <w:proofErr w:type="spellEnd"/>
      <w:r>
        <w:rPr>
          <w:rFonts w:ascii="Times New Roman" w:eastAsia="Times New Roman" w:hAnsi="Times New Roman" w:cs="Times New Roman"/>
          <w:sz w:val="24"/>
        </w:rPr>
        <w:t xml:space="preserve"> with the stability pertaining to this financial sector can be ascribed to the 16th epoch, during the time of Jean </w:t>
      </w:r>
      <w:proofErr w:type="spellStart"/>
      <w:r>
        <w:rPr>
          <w:rFonts w:ascii="Times New Roman" w:eastAsia="Times New Roman" w:hAnsi="Times New Roman" w:cs="Times New Roman"/>
          <w:sz w:val="24"/>
        </w:rPr>
        <w:t>Bodin</w:t>
      </w:r>
      <w:proofErr w:type="spellEnd"/>
      <w:r>
        <w:rPr>
          <w:rFonts w:ascii="Times New Roman" w:eastAsia="Times New Roman" w:hAnsi="Times New Roman" w:cs="Times New Roman"/>
          <w:sz w:val="24"/>
        </w:rPr>
        <w:t>. However, it gained significant attention in both theoretical and emp</w:t>
      </w:r>
      <w:r>
        <w:rPr>
          <w:rFonts w:ascii="Times New Roman" w:eastAsia="Times New Roman" w:hAnsi="Times New Roman" w:cs="Times New Roman"/>
          <w:sz w:val="24"/>
        </w:rPr>
        <w:t>irical literature subsequent to the transnational economic downturn (GFC). According to the International Monetary Fund (IMF, 2015), financial stability used to be solely the responsibility of separate agencies from the Central Bank before the crisis. Pres</w:t>
      </w:r>
      <w:r>
        <w:rPr>
          <w:rFonts w:ascii="Times New Roman" w:eastAsia="Times New Roman" w:hAnsi="Times New Roman" w:cs="Times New Roman"/>
          <w:sz w:val="24"/>
        </w:rPr>
        <w:t xml:space="preserve">ently, many policymakers acknowledge the necessity of ensuring financial sector stability for the purpose of fostering macroeconomic expansion. During these peripheral periods concerning GFC, the European Central Bank (ECB, 2007) emphasized that financial </w:t>
      </w:r>
      <w:r>
        <w:rPr>
          <w:rFonts w:ascii="Times New Roman" w:eastAsia="Times New Roman" w:hAnsi="Times New Roman" w:cs="Times New Roman"/>
          <w:sz w:val="24"/>
        </w:rPr>
        <w:t>stability serves as the foundation for economic growth. It enables the financial system, including financial infrastructure, markets, and intermediaries, to withstand shocks and address financial imbalances within the economy. From this viewpoint, financia</w:t>
      </w:r>
      <w:r>
        <w:rPr>
          <w:rFonts w:ascii="Times New Roman" w:eastAsia="Times New Roman" w:hAnsi="Times New Roman" w:cs="Times New Roman"/>
          <w:sz w:val="24"/>
        </w:rPr>
        <w:t>l stability plays a role in reducing volatility in financial brokerage, thereby facilitating the allocation of savings towards profitable investment opportunities.</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Limited access to formal financial systems is a prominent characteristic of the economic landscape in numerous African economies. According to CGAP (2014), a staggering 75% of adults in Sub-Saharan Africa do not possess a bank account. Furthermore, African</w:t>
      </w:r>
      <w:r>
        <w:rPr>
          <w:rFonts w:ascii="Times New Roman" w:eastAsia="Times New Roman" w:hAnsi="Times New Roman" w:cs="Times New Roman"/>
          <w:sz w:val="24"/>
        </w:rPr>
        <w:t xml:space="preserve"> economies exhibit substantial informal sectors (informal jobs and businesses) (CGAP, 2014). The most vulnerable segments of the population, such as the poorest individuals, women, and youth, are primarily engaged in informal employment, often lacking acce</w:t>
      </w:r>
      <w:r>
        <w:rPr>
          <w:rFonts w:ascii="Times New Roman" w:eastAsia="Times New Roman" w:hAnsi="Times New Roman" w:cs="Times New Roman"/>
          <w:sz w:val="24"/>
        </w:rPr>
        <w:t xml:space="preserve">ss to banking services (CGAP, 2014). Kahn (2010) suggested that a sizable informal sector hampers the </w:t>
      </w:r>
      <w:proofErr w:type="spellStart"/>
      <w:r>
        <w:rPr>
          <w:rFonts w:ascii="Times New Roman" w:eastAsia="Times New Roman" w:hAnsi="Times New Roman" w:cs="Times New Roman"/>
          <w:sz w:val="24"/>
        </w:rPr>
        <w:t>trainference</w:t>
      </w:r>
      <w:proofErr w:type="spellEnd"/>
      <w:r>
        <w:rPr>
          <w:rFonts w:ascii="Times New Roman" w:eastAsia="Times New Roman" w:hAnsi="Times New Roman" w:cs="Times New Roman"/>
          <w:sz w:val="24"/>
        </w:rPr>
        <w:t xml:space="preserve"> of monetary policy, as the financial decisions of a consequential number of financially excluded individuals remain unaffected by the policie</w:t>
      </w:r>
      <w:r>
        <w:rPr>
          <w:rFonts w:ascii="Times New Roman" w:eastAsia="Times New Roman" w:hAnsi="Times New Roman" w:cs="Times New Roman"/>
          <w:sz w:val="24"/>
        </w:rPr>
        <w:t>s implemented by the central bank. Therefore, promoting financial inclusion in Africa benefits not only these marginalized individuals but also enhances the effectiveness of monetary policy and, consequently, ensures financial stability in the region (ADB,</w:t>
      </w:r>
      <w:r>
        <w:rPr>
          <w:rFonts w:ascii="Times New Roman" w:eastAsia="Times New Roman" w:hAnsi="Times New Roman" w:cs="Times New Roman"/>
          <w:sz w:val="24"/>
        </w:rPr>
        <w:t xml:space="preserve"> 2013). The World Bank (2001) supports this notion by asserting that financial stability contributes to poverty reduction and improved income distribution. Conversely, financial volatility can spearhead to bank streaks, runaway inflation, and equities mark</w:t>
      </w:r>
      <w:r>
        <w:rPr>
          <w:rFonts w:ascii="Times New Roman" w:eastAsia="Times New Roman" w:hAnsi="Times New Roman" w:cs="Times New Roman"/>
          <w:sz w:val="24"/>
        </w:rPr>
        <w:t xml:space="preserve">ets </w:t>
      </w:r>
      <w:r>
        <w:rPr>
          <w:rFonts w:ascii="Times New Roman" w:eastAsia="Times New Roman" w:hAnsi="Times New Roman" w:cs="Times New Roman"/>
          <w:sz w:val="24"/>
        </w:rPr>
        <w:lastRenderedPageBreak/>
        <w:t xml:space="preserve">crashes. Given the significance of financial volatility, various policies have been implemented to ensure its preservation, with monetary policy being expected to play a substantial role. According to </w:t>
      </w:r>
      <w:proofErr w:type="spellStart"/>
      <w:r>
        <w:rPr>
          <w:rFonts w:ascii="Times New Roman" w:eastAsia="Times New Roman" w:hAnsi="Times New Roman" w:cs="Times New Roman"/>
          <w:sz w:val="24"/>
        </w:rPr>
        <w:t>Onouorah</w:t>
      </w:r>
      <w:proofErr w:type="spellEnd"/>
      <w:r>
        <w:rPr>
          <w:rFonts w:ascii="Times New Roman" w:eastAsia="Times New Roman" w:hAnsi="Times New Roman" w:cs="Times New Roman"/>
          <w:sz w:val="24"/>
        </w:rPr>
        <w:t xml:space="preserve"> et al. (2011), monetary policy alludes to </w:t>
      </w:r>
      <w:r>
        <w:rPr>
          <w:rFonts w:ascii="Times New Roman" w:eastAsia="Times New Roman" w:hAnsi="Times New Roman" w:cs="Times New Roman"/>
          <w:sz w:val="24"/>
        </w:rPr>
        <w:t xml:space="preserve">the administration of the money reserves and interest rates by the central bank with the aim of achieving macroeconomic goals. As a policy aimed at promoting stability, monetary policy </w:t>
      </w:r>
      <w:proofErr w:type="spellStart"/>
      <w:r>
        <w:rPr>
          <w:rFonts w:ascii="Times New Roman" w:eastAsia="Times New Roman" w:hAnsi="Times New Roman" w:cs="Times New Roman"/>
          <w:sz w:val="24"/>
        </w:rPr>
        <w:t>incoparates</w:t>
      </w:r>
      <w:proofErr w:type="spellEnd"/>
      <w:r>
        <w:rPr>
          <w:rFonts w:ascii="Times New Roman" w:eastAsia="Times New Roman" w:hAnsi="Times New Roman" w:cs="Times New Roman"/>
          <w:sz w:val="24"/>
        </w:rPr>
        <w:t xml:space="preserve"> the harness of various tools to govern and manage the quant</w:t>
      </w:r>
      <w:r>
        <w:rPr>
          <w:rFonts w:ascii="Times New Roman" w:eastAsia="Times New Roman" w:hAnsi="Times New Roman" w:cs="Times New Roman"/>
          <w:sz w:val="24"/>
        </w:rPr>
        <w:t xml:space="preserve">ity, availability, expense, and orientation of money and finance in the market. In addition to controlling money supply and interest rates, central banks can employ alternative monetary instruments including as the bank rate, open market operations (OMO), </w:t>
      </w:r>
      <w:r>
        <w:rPr>
          <w:rFonts w:ascii="Times New Roman" w:eastAsia="Times New Roman" w:hAnsi="Times New Roman" w:cs="Times New Roman"/>
          <w:sz w:val="24"/>
        </w:rPr>
        <w:t>and reserve requirements to foster financial balance. In this segment, we will probe into the ancient provenance of the project, present a concise statement of the problem at hand, outline the aims to be achieved, articulate the research questions being ad</w:t>
      </w:r>
      <w:r>
        <w:rPr>
          <w:rFonts w:ascii="Times New Roman" w:eastAsia="Times New Roman" w:hAnsi="Times New Roman" w:cs="Times New Roman"/>
          <w:sz w:val="24"/>
        </w:rPr>
        <w:t>dressed, and put forth the hypotheses under investigation. Furthermore, the subsequent subsections will delve into the study's significance and shed light on its inherent limitations.</w:t>
      </w:r>
    </w:p>
    <w:p w:rsidR="00DF0840" w:rsidRDefault="00DF0840">
      <w:pPr>
        <w:spacing w:after="0" w:line="360" w:lineRule="auto"/>
        <w:jc w:val="both"/>
        <w:rPr>
          <w:rFonts w:ascii="Times New Roman" w:eastAsia="Times New Roman" w:hAnsi="Times New Roman" w:cs="Times New Roman"/>
          <w:b/>
          <w:sz w:val="24"/>
        </w:rPr>
      </w:pPr>
    </w:p>
    <w:p w:rsidR="00DF0840" w:rsidRDefault="00B3023B">
      <w:pPr>
        <w:keepNext/>
        <w:keepLines/>
        <w:spacing w:before="160" w:after="12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1.1.0 Background of the sturdy</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primary objectives of central banks now encompass both implementing monetary policy and preserving the solidity</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Of the financial sector. According to </w:t>
      </w:r>
      <w:proofErr w:type="spellStart"/>
      <w:r>
        <w:rPr>
          <w:rFonts w:ascii="Times New Roman" w:eastAsia="Times New Roman" w:hAnsi="Times New Roman" w:cs="Times New Roman"/>
          <w:sz w:val="24"/>
        </w:rPr>
        <w:t>Akomolafe</w:t>
      </w:r>
      <w:proofErr w:type="spellEnd"/>
      <w:r>
        <w:rPr>
          <w:rFonts w:ascii="Times New Roman" w:eastAsia="Times New Roman" w:hAnsi="Times New Roman" w:cs="Times New Roman"/>
          <w:sz w:val="24"/>
        </w:rPr>
        <w:t xml:space="preserve"> et al. (2015), the significance of the financial sector in a nation's economy cannot be ove</w:t>
      </w:r>
      <w:r>
        <w:rPr>
          <w:rFonts w:ascii="Times New Roman" w:eastAsia="Times New Roman" w:hAnsi="Times New Roman" w:cs="Times New Roman"/>
          <w:sz w:val="24"/>
        </w:rPr>
        <w:t xml:space="preserve">rstated, as it facilitates the allocation of surplus funds to productive areas of the economy. The financial sector comprises agencies and corporations that provide financial amenities to retail and </w:t>
      </w:r>
      <w:proofErr w:type="spellStart"/>
      <w:r>
        <w:rPr>
          <w:rFonts w:ascii="Times New Roman" w:eastAsia="Times New Roman" w:hAnsi="Times New Roman" w:cs="Times New Roman"/>
          <w:sz w:val="24"/>
        </w:rPr>
        <w:t>ccorporate</w:t>
      </w:r>
      <w:proofErr w:type="spellEnd"/>
      <w:r>
        <w:rPr>
          <w:rFonts w:ascii="Times New Roman" w:eastAsia="Times New Roman" w:hAnsi="Times New Roman" w:cs="Times New Roman"/>
          <w:sz w:val="24"/>
        </w:rPr>
        <w:t xml:space="preserve"> customers, such as banks, microfinance institu</w:t>
      </w:r>
      <w:r>
        <w:rPr>
          <w:rFonts w:ascii="Times New Roman" w:eastAsia="Times New Roman" w:hAnsi="Times New Roman" w:cs="Times New Roman"/>
          <w:sz w:val="24"/>
        </w:rPr>
        <w:t xml:space="preserve">tions, insurance companies, and brokers. </w:t>
      </w:r>
      <w:proofErr w:type="spellStart"/>
      <w:r>
        <w:rPr>
          <w:rFonts w:ascii="Times New Roman" w:eastAsia="Times New Roman" w:hAnsi="Times New Roman" w:cs="Times New Roman"/>
          <w:sz w:val="24"/>
        </w:rPr>
        <w:t>Alawode</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Sadek</w:t>
      </w:r>
      <w:proofErr w:type="spellEnd"/>
      <w:r>
        <w:rPr>
          <w:rFonts w:ascii="Times New Roman" w:eastAsia="Times New Roman" w:hAnsi="Times New Roman" w:cs="Times New Roman"/>
          <w:sz w:val="24"/>
        </w:rPr>
        <w:t xml:space="preserve"> (2008) argue that a financially stable sector is characterized by prudent, efficient, and uninterrupted functioning, even in the face of shocks. A stable monetary system contributes to the streamli</w:t>
      </w:r>
      <w:r>
        <w:rPr>
          <w:rFonts w:ascii="Times New Roman" w:eastAsia="Times New Roman" w:hAnsi="Times New Roman" w:cs="Times New Roman"/>
          <w:sz w:val="24"/>
        </w:rPr>
        <w:t>ned distribution of resources and risk diversification across the economy. Furthermore, it safeguards the economy against external capital inflows, thereby preventing adverse economic conditions like high inflation and unemployment. Hence, it is evident th</w:t>
      </w:r>
      <w:r>
        <w:rPr>
          <w:rFonts w:ascii="Times New Roman" w:eastAsia="Times New Roman" w:hAnsi="Times New Roman" w:cs="Times New Roman"/>
          <w:sz w:val="24"/>
        </w:rPr>
        <w:t xml:space="preserve">at the stability of the financial sector serves as the foundation for economic growth. Aurangzeb (2012) supports this notion by asserting that financial stability fosters sustainable economic growth. The instability of the financial sector </w:t>
      </w:r>
      <w:r>
        <w:rPr>
          <w:rFonts w:ascii="Times New Roman" w:eastAsia="Times New Roman" w:hAnsi="Times New Roman" w:cs="Times New Roman"/>
          <w:sz w:val="24"/>
        </w:rPr>
        <w:lastRenderedPageBreak/>
        <w:t>incurs costs for</w:t>
      </w:r>
      <w:r>
        <w:rPr>
          <w:rFonts w:ascii="Times New Roman" w:eastAsia="Times New Roman" w:hAnsi="Times New Roman" w:cs="Times New Roman"/>
          <w:sz w:val="24"/>
        </w:rPr>
        <w:t xml:space="preserve"> the economy, as it has a ripple effect on other industries such as mining, tourism, agriculture, and manufacturing. Therefore, it is crucial to ensure a robust financial sector, as the overall well-being of an economy is intertwined with the health of its</w:t>
      </w:r>
      <w:r>
        <w:rPr>
          <w:rFonts w:ascii="Times New Roman" w:eastAsia="Times New Roman" w:hAnsi="Times New Roman" w:cs="Times New Roman"/>
          <w:sz w:val="24"/>
        </w:rPr>
        <w:t xml:space="preserve"> financial system. This has been a contentious issue in many economies, and the global financial quandary of 2008–2009 serves as a testament to this fact.</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study aims to analyze how monetary policy interventions, including interest rate changes, reserv</w:t>
      </w:r>
      <w:r>
        <w:rPr>
          <w:rFonts w:ascii="Times New Roman" w:eastAsia="Times New Roman" w:hAnsi="Times New Roman" w:cs="Times New Roman"/>
          <w:sz w:val="24"/>
        </w:rPr>
        <w:t>e requirements, and open market operations, influence the stability of the financial sector in Sub-Saharan Africa. By examining the dissemination mechanisms of monetary policy, the research seeks to identify the effects of policy decisions on bank profitab</w:t>
      </w:r>
      <w:r>
        <w:rPr>
          <w:rFonts w:ascii="Times New Roman" w:eastAsia="Times New Roman" w:hAnsi="Times New Roman" w:cs="Times New Roman"/>
          <w:sz w:val="24"/>
        </w:rPr>
        <w:t>ility, credit availability, and systemic risks within the region. The period from 2009 to 2023 witnessed diverse economic trends in Sub-Saharan Africa, including fluctuating growth rates, inflation dynamics, and structural reforms. Sub-Saharan Africa faced</w:t>
      </w:r>
      <w:r>
        <w:rPr>
          <w:rFonts w:ascii="Times New Roman" w:eastAsia="Times New Roman" w:hAnsi="Times New Roman" w:cs="Times New Roman"/>
          <w:sz w:val="24"/>
        </w:rPr>
        <w:t xml:space="preserve"> a range of external fluctuations, such as the universal financial quandary of 2008, commodity price fluctuations, and the COVID-19 disease outbreak, which underscored the importance of robust monetary policy frameworks in maintaining financial stability. </w:t>
      </w:r>
      <w:r>
        <w:rPr>
          <w:rFonts w:ascii="Times New Roman" w:eastAsia="Times New Roman" w:hAnsi="Times New Roman" w:cs="Times New Roman"/>
          <w:sz w:val="24"/>
        </w:rPr>
        <w:t>Central banks in Sub-Saharan Africa implemented a variety of monetary policy tools to achieve price solidity, boost economic growth, and enhance financial sector resilience. The adoption of inflation-targeting regimes, interest rate adjustments, and exchan</w:t>
      </w:r>
      <w:r>
        <w:rPr>
          <w:rFonts w:ascii="Times New Roman" w:eastAsia="Times New Roman" w:hAnsi="Times New Roman" w:cs="Times New Roman"/>
          <w:sz w:val="24"/>
        </w:rPr>
        <w:t>ge rate policies aimed to manage inflation, ensure liquidity, and support overall economic stability in the region. The financial sector in Sub-Saharan Africa experienced transformations in terms of banking regulation, capital adequacy, and financial deepe</w:t>
      </w:r>
      <w:r>
        <w:rPr>
          <w:rFonts w:ascii="Times New Roman" w:eastAsia="Times New Roman" w:hAnsi="Times New Roman" w:cs="Times New Roman"/>
          <w:sz w:val="24"/>
        </w:rPr>
        <w:t>ning during the study period. Challenges such as non-performing loans, liquidity risks, and exposure to external shocks highlighted the significant of effective monetary policy in fortifying the steadiness of financial institutions and markets.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Central</w:t>
      </w:r>
      <w:r>
        <w:rPr>
          <w:rFonts w:ascii="Times New Roman" w:eastAsia="Times New Roman" w:hAnsi="Times New Roman" w:cs="Times New Roman"/>
          <w:sz w:val="24"/>
        </w:rPr>
        <w:t xml:space="preserve"> African Economic and Monetary Community (CEMAC) required a comprehensive evaluation of the effects of its policies on vital economic metrics, including inflation, foreign exchange reserves, and GDP, due to the escalating intricacy of its financial landsca</w:t>
      </w:r>
      <w:r>
        <w:rPr>
          <w:rFonts w:ascii="Times New Roman" w:eastAsia="Times New Roman" w:hAnsi="Times New Roman" w:cs="Times New Roman"/>
          <w:sz w:val="24"/>
        </w:rPr>
        <w:t>pe. The proliferation of diverse financial entities, encompassing banks, market finance, and informal finance, has significantly contributed to the advancement of the financial sector in CEMAC. The implementation of financial liberalization policies in the</w:t>
      </w:r>
      <w:r>
        <w:rPr>
          <w:rFonts w:ascii="Times New Roman" w:eastAsia="Times New Roman" w:hAnsi="Times New Roman" w:cs="Times New Roman"/>
          <w:sz w:val="24"/>
        </w:rPr>
        <w:t xml:space="preserve"> 1990s has yielded favorable outcomes, evident in the expansion of fluidity and funding capacity in CEMAC countries. While liquidity </w:t>
      </w:r>
      <w:r>
        <w:rPr>
          <w:rFonts w:ascii="Times New Roman" w:eastAsia="Times New Roman" w:hAnsi="Times New Roman" w:cs="Times New Roman"/>
          <w:sz w:val="24"/>
        </w:rPr>
        <w:lastRenderedPageBreak/>
        <w:t xml:space="preserve">has reached approximately 16% of GDP and credit to the private sector has attained around 10% of GDP - approaching 25% and </w:t>
      </w:r>
      <w:r>
        <w:rPr>
          <w:rFonts w:ascii="Times New Roman" w:eastAsia="Times New Roman" w:hAnsi="Times New Roman" w:cs="Times New Roman"/>
          <w:sz w:val="24"/>
        </w:rPr>
        <w:t>20% sequentially - this growth has also led to some adverse consequences. Between 2000 and 2018, the financial sector in CEMAC experienced a moderate expansion, with a notable period of development observed between 2000 and 2005.</w:t>
      </w:r>
    </w:p>
    <w:p w:rsidR="00DF0840" w:rsidRDefault="00B3023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Between 2006 and 2012, the</w:t>
      </w:r>
      <w:r>
        <w:rPr>
          <w:rFonts w:ascii="Times New Roman" w:eastAsia="Times New Roman" w:hAnsi="Times New Roman" w:cs="Times New Roman"/>
          <w:sz w:val="24"/>
        </w:rPr>
        <w:t xml:space="preserve"> Central African Economic and Monetary Community (CEMAC) witnessed a reversal in the growth of its financial sector, which led to a mitigation of the adverse effects that had arisen from the previous rapid expansion. In the subsequent period, spanning from</w:t>
      </w:r>
      <w:r>
        <w:rPr>
          <w:rFonts w:ascii="Times New Roman" w:eastAsia="Times New Roman" w:hAnsi="Times New Roman" w:cs="Times New Roman"/>
          <w:sz w:val="24"/>
        </w:rPr>
        <w:t xml:space="preserve"> 2013 to 2018, CEMAC implemented various policy reforms, including a reduction in interest rates, the encouragement of medium-term lending, a significant decrease in mandatory reserve requirements, and the easing of refinancing terms for banks. These regul</w:t>
      </w:r>
      <w:r>
        <w:rPr>
          <w:rFonts w:ascii="Times New Roman" w:eastAsia="Times New Roman" w:hAnsi="Times New Roman" w:cs="Times New Roman"/>
          <w:sz w:val="24"/>
        </w:rPr>
        <w:t xml:space="preserve">atory changes contributed to an improvement in liquidity and a surge in credit availability within the CEMAC region, fostering a more </w:t>
      </w:r>
      <w:proofErr w:type="spellStart"/>
      <w:r>
        <w:rPr>
          <w:rFonts w:ascii="Times New Roman" w:eastAsia="Times New Roman" w:hAnsi="Times New Roman" w:cs="Times New Roman"/>
          <w:sz w:val="24"/>
        </w:rPr>
        <w:t>favourable</w:t>
      </w:r>
      <w:proofErr w:type="spellEnd"/>
      <w:r>
        <w:rPr>
          <w:rFonts w:ascii="Times New Roman" w:eastAsia="Times New Roman" w:hAnsi="Times New Roman" w:cs="Times New Roman"/>
          <w:sz w:val="24"/>
        </w:rPr>
        <w:t xml:space="preserve"> financial environment.</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(See figure 1 below).</w:t>
      </w: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object w:dxaOrig="10896" w:dyaOrig="7289">
          <v:rect id="rectole0000000002" o:spid="_x0000_i1027" style="width:544.5pt;height:364.5pt" o:ole="" o:preferrelative="t" stroked="f">
            <v:imagedata r:id="rId9" o:title=""/>
          </v:rect>
          <o:OLEObject Type="Embed" ProgID="StaticMetafile" ShapeID="rectole0000000002" DrawAspect="Content" ObjectID="_1788778272" r:id="rId10"/>
        </w:object>
      </w:r>
    </w:p>
    <w:p w:rsidR="00DF0840" w:rsidRDefault="00DF0840">
      <w:pPr>
        <w:spacing w:after="0" w:line="360" w:lineRule="auto"/>
        <w:jc w:val="both"/>
        <w:rPr>
          <w:rFonts w:ascii="Times New Roman" w:eastAsia="Times New Roman" w:hAnsi="Times New Roman" w:cs="Times New Roman"/>
          <w:sz w:val="24"/>
        </w:rPr>
      </w:pPr>
    </w:p>
    <w:p w:rsidR="00DF0840" w:rsidRDefault="00B3023B">
      <w:pPr>
        <w:keepNext/>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DF0840" w:rsidRDefault="00B3023B">
      <w:pPr>
        <w:tabs>
          <w:tab w:val="left" w:pos="5205"/>
        </w:tabs>
        <w:spacing w:after="2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Figure 1. Trend of Financial De</w:t>
      </w:r>
      <w:r>
        <w:rPr>
          <w:rFonts w:ascii="Times New Roman" w:eastAsia="Times New Roman" w:hAnsi="Times New Roman" w:cs="Times New Roman"/>
          <w:sz w:val="24"/>
        </w:rPr>
        <w:t>velopment Indicator in CEMAC.</w:t>
      </w:r>
      <w:r>
        <w:rPr>
          <w:rFonts w:ascii="Times New Roman" w:eastAsia="Times New Roman" w:hAnsi="Times New Roman" w:cs="Times New Roman"/>
          <w:sz w:val="24"/>
        </w:rPr>
        <w:tab/>
      </w: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Source: WDI</w:t>
      </w:r>
      <w:r>
        <w:rPr>
          <w:rFonts w:ascii="Times New Roman" w:eastAsia="Times New Roman" w:hAnsi="Times New Roman" w:cs="Times New Roman"/>
          <w:sz w:val="24"/>
        </w:rPr>
        <w:t xml:space="preserve"> 2021 database.</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As noted by </w:t>
      </w:r>
      <w:proofErr w:type="spellStart"/>
      <w:r>
        <w:rPr>
          <w:rFonts w:ascii="Times New Roman" w:eastAsia="Times New Roman" w:hAnsi="Times New Roman" w:cs="Times New Roman"/>
          <w:sz w:val="24"/>
        </w:rPr>
        <w:t>Fofack</w:t>
      </w:r>
      <w:proofErr w:type="spellEnd"/>
      <w:r>
        <w:rPr>
          <w:rFonts w:ascii="Times New Roman" w:eastAsia="Times New Roman" w:hAnsi="Times New Roman" w:cs="Times New Roman"/>
          <w:sz w:val="24"/>
        </w:rPr>
        <w:t xml:space="preserve"> (2005), the surge in fluidity and financing availability in the Central African Economic and Monetary Community (CEMAC) was offset by a deterioration in asset quality, resulting in a troubling escalation of non-performing loans (as depic</w:t>
      </w:r>
      <w:r>
        <w:rPr>
          <w:rFonts w:ascii="Times New Roman" w:eastAsia="Times New Roman" w:hAnsi="Times New Roman" w:cs="Times New Roman"/>
          <w:sz w:val="24"/>
        </w:rPr>
        <w:t xml:space="preserve">ted in Figure 2). This foundation of financial instability, compounded by elevated risk levels, has undermined the anticipated benefits of financial sector growth in the CEMAC region. According to </w:t>
      </w:r>
      <w:proofErr w:type="spellStart"/>
      <w:r>
        <w:rPr>
          <w:rFonts w:ascii="Times New Roman" w:eastAsia="Times New Roman" w:hAnsi="Times New Roman" w:cs="Times New Roman"/>
          <w:sz w:val="24"/>
        </w:rPr>
        <w:t>Fofack</w:t>
      </w:r>
      <w:proofErr w:type="spellEnd"/>
      <w:r>
        <w:rPr>
          <w:rFonts w:ascii="Times New Roman" w:eastAsia="Times New Roman" w:hAnsi="Times New Roman" w:cs="Times New Roman"/>
          <w:sz w:val="24"/>
        </w:rPr>
        <w:t xml:space="preserve"> (2005), the credit risk associated with the financia</w:t>
      </w:r>
      <w:r>
        <w:rPr>
          <w:rFonts w:ascii="Times New Roman" w:eastAsia="Times New Roman" w:hAnsi="Times New Roman" w:cs="Times New Roman"/>
          <w:sz w:val="24"/>
        </w:rPr>
        <w:t xml:space="preserve">l sector's expansion in CEMAC has reached alarming levels, surpassing those witnessed during the height of the Asian financial crisis, with </w:t>
      </w:r>
      <w:r>
        <w:rPr>
          <w:rFonts w:ascii="Times New Roman" w:eastAsia="Times New Roman" w:hAnsi="Times New Roman" w:cs="Times New Roman"/>
          <w:sz w:val="24"/>
        </w:rPr>
        <w:lastRenderedPageBreak/>
        <w:t>non-performing loans exceeding 30% in the region, indicating a grave concern for financial stability.</w:t>
      </w: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object w:dxaOrig="9953" w:dyaOrig="5116">
          <v:rect id="rectole0000000003" o:spid="_x0000_i1028" style="width:498pt;height:255.75pt" o:ole="" o:preferrelative="t" stroked="f">
            <v:imagedata r:id="rId11" o:title=""/>
          </v:rect>
          <o:OLEObject Type="Embed" ProgID="StaticMetafile" ShapeID="rectole0000000003" DrawAspect="Content" ObjectID="_1788778273" r:id="rId12"/>
        </w:object>
      </w:r>
    </w:p>
    <w:p w:rsidR="00DF0840" w:rsidRDefault="00B3023B">
      <w:pPr>
        <w:keepNext/>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DF0840" w:rsidRDefault="00B3023B">
      <w:pPr>
        <w:spacing w:after="2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Figure 2. Trend of Non-performing loans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Source:</w:t>
      </w:r>
      <w:r>
        <w:rPr>
          <w:rFonts w:ascii="Times New Roman" w:eastAsia="Times New Roman" w:hAnsi="Times New Roman" w:cs="Times New Roman"/>
          <w:sz w:val="24"/>
        </w:rPr>
        <w:t xml:space="preserve"> BEAC 2021 database</w:t>
      </w:r>
    </w:p>
    <w:p w:rsidR="00DF0840" w:rsidRDefault="00B3023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An analysis of Figures 1 and 2 reveals three distinct patterns in the adverse consequences of financial sector development. During the period between 2000 and 2005, credit</w:t>
      </w:r>
      <w:r>
        <w:rPr>
          <w:rFonts w:ascii="Times New Roman" w:eastAsia="Times New Roman" w:hAnsi="Times New Roman" w:cs="Times New Roman"/>
          <w:sz w:val="24"/>
        </w:rPr>
        <w:t xml:space="preserve"> advancement exhibited a moderate upward trajectory, accompanied by relatively minimal levels of financial fragility (15.7%) across the sub-region. The subsequent decline in finance availability from 2006 to 2012 was accompanied by a decrease in financial </w:t>
      </w:r>
      <w:r>
        <w:rPr>
          <w:rFonts w:ascii="Times New Roman" w:eastAsia="Times New Roman" w:hAnsi="Times New Roman" w:cs="Times New Roman"/>
          <w:sz w:val="24"/>
        </w:rPr>
        <w:t>threat, which stabilized at approximately 13.8% for the sub-region, although the risk held on substantial. However, the resurgence of credit growth from 2013 to 2018 was accompanied by a concomitant increase in credit risk, culminating in an average non-pe</w:t>
      </w:r>
      <w:r>
        <w:rPr>
          <w:rFonts w:ascii="Times New Roman" w:eastAsia="Times New Roman" w:hAnsi="Times New Roman" w:cs="Times New Roman"/>
          <w:sz w:val="24"/>
        </w:rPr>
        <w:t>rforming loan rate of 32% in CEMAC, as depicted in Figure 2.</w:t>
      </w: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Although a direct correlation between the negative effects of financial sector advancement and monetary stability in CEMAC has not been definitively established, an examination of inflation tre</w:t>
      </w:r>
      <w:r>
        <w:rPr>
          <w:rFonts w:ascii="Times New Roman" w:eastAsia="Times New Roman" w:hAnsi="Times New Roman" w:cs="Times New Roman"/>
          <w:sz w:val="24"/>
        </w:rPr>
        <w:t>nds (refer to Figure 3) sheds light on how the financial sector's growth has influenced the central bank's efforts to maintain internal monetary stability. While Cameroon, with its well-developed financial sector, has been successful in keeping inflation v</w:t>
      </w:r>
      <w:r>
        <w:rPr>
          <w:rFonts w:ascii="Times New Roman" w:eastAsia="Times New Roman" w:hAnsi="Times New Roman" w:cs="Times New Roman"/>
          <w:sz w:val="24"/>
        </w:rPr>
        <w:t>olatility low, other CEMAC countries demonstrate that increased credit expansion and liquidity flows, leading to heightened credit risk, can impact the goal of internal monetary stability.</w:t>
      </w:r>
    </w:p>
    <w:p w:rsidR="00DF0840" w:rsidRDefault="00B3023B">
      <w:pPr>
        <w:spacing w:after="0" w:line="360" w:lineRule="auto"/>
        <w:jc w:val="both"/>
        <w:rPr>
          <w:rFonts w:ascii="Times New Roman" w:eastAsia="Times New Roman" w:hAnsi="Times New Roman" w:cs="Times New Roman"/>
          <w:sz w:val="24"/>
        </w:rPr>
      </w:pPr>
      <w:r>
        <w:object w:dxaOrig="11445" w:dyaOrig="5436">
          <v:rect id="rectole0000000004" o:spid="_x0000_i1029" style="width:572.25pt;height:271.5pt" o:ole="" o:preferrelative="t" stroked="f">
            <v:imagedata r:id="rId13" o:title=""/>
          </v:rect>
          <o:OLEObject Type="Embed" ProgID="StaticMetafile" ShapeID="rectole0000000004" DrawAspect="Content" ObjectID="_1788778274" r:id="rId14"/>
        </w:object>
      </w:r>
    </w:p>
    <w:p w:rsidR="00DF0840" w:rsidRDefault="00DF0840">
      <w:pPr>
        <w:keepNext/>
        <w:spacing w:after="0" w:line="360" w:lineRule="auto"/>
        <w:jc w:val="both"/>
        <w:rPr>
          <w:rFonts w:ascii="Times New Roman" w:eastAsia="Times New Roman" w:hAnsi="Times New Roman" w:cs="Times New Roman"/>
          <w:sz w:val="24"/>
        </w:rPr>
      </w:pPr>
    </w:p>
    <w:p w:rsidR="00DF0840" w:rsidRDefault="00B3023B">
      <w:pPr>
        <w:spacing w:after="2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Figure 3.Trend of Inflation by Country</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Source:</w:t>
      </w:r>
      <w:r>
        <w:rPr>
          <w:rFonts w:ascii="Times New Roman" w:eastAsia="Times New Roman" w:hAnsi="Times New Roman" w:cs="Times New Roman"/>
          <w:sz w:val="24"/>
        </w:rPr>
        <w:t xml:space="preserve"> BEAC 2021 dataset (Strata 14.2)</w:t>
      </w: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In the 1990s, Kenya pursued a policy of economic liberalization, which involved removing controls on interest rates, implementing flexible exchange rates, liberalizing capital markets, and devaluing its currency. Open Market Operations (OMO) served as the </w:t>
      </w:r>
      <w:r>
        <w:rPr>
          <w:rFonts w:ascii="Times New Roman" w:eastAsia="Times New Roman" w:hAnsi="Times New Roman" w:cs="Times New Roman"/>
          <w:sz w:val="24"/>
        </w:rPr>
        <w:t xml:space="preserve">primary tool for the Kenyan monetary authorities during this period. This era in Kenya was characterized by notably high interest rates and an excessive money supply. Faced with a troubled financial sector marked </w:t>
      </w:r>
      <w:r>
        <w:rPr>
          <w:rFonts w:ascii="Times New Roman" w:eastAsia="Times New Roman" w:hAnsi="Times New Roman" w:cs="Times New Roman"/>
          <w:sz w:val="24"/>
        </w:rPr>
        <w:lastRenderedPageBreak/>
        <w:t>by substantial uncertainty and instability,</w:t>
      </w:r>
      <w:r>
        <w:rPr>
          <w:rFonts w:ascii="Times New Roman" w:eastAsia="Times New Roman" w:hAnsi="Times New Roman" w:cs="Times New Roman"/>
          <w:sz w:val="24"/>
        </w:rPr>
        <w:t xml:space="preserve"> the Central Bank of Kenya employed indirect measures to address inflationary pressures.</w:t>
      </w:r>
    </w:p>
    <w:p w:rsidR="00DF0840" w:rsidRDefault="00DF0840">
      <w:pPr>
        <w:spacing w:after="0" w:line="360" w:lineRule="auto"/>
        <w:jc w:val="both"/>
        <w:rPr>
          <w:rFonts w:ascii="Times New Roman" w:eastAsia="Times New Roman" w:hAnsi="Times New Roman" w:cs="Times New Roman"/>
          <w:b/>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In the 1980s, the Zambian financial sector experienced significant effects from its monetary policy. To combat a severe economic downturn, Zambia adopted structural a</w:t>
      </w:r>
      <w:r>
        <w:rPr>
          <w:rFonts w:ascii="Times New Roman" w:eastAsia="Times New Roman" w:hAnsi="Times New Roman" w:cs="Times New Roman"/>
          <w:sz w:val="24"/>
        </w:rPr>
        <w:t>djustment programs after receiving a conditional loan from the IMF. One of the conditions set by the IMF was the liberalization of interest rates. In accordance with these programs, the Zambian monetary authorities decided to devalue the kwacha and elimina</w:t>
      </w:r>
      <w:r>
        <w:rPr>
          <w:rFonts w:ascii="Times New Roman" w:eastAsia="Times New Roman" w:hAnsi="Times New Roman" w:cs="Times New Roman"/>
          <w:sz w:val="24"/>
        </w:rPr>
        <w:t>te controls on interest rates. As a result, previously fixed interest rates were raised accordingly. Initially, the kwacha was devalued at a monthly rate of 1%, which was later increased to 2.5% in 1984. By 1987, the exchange rate had risen to 15 kwacha pe</w:t>
      </w:r>
      <w:r>
        <w:rPr>
          <w:rFonts w:ascii="Times New Roman" w:eastAsia="Times New Roman" w:hAnsi="Times New Roman" w:cs="Times New Roman"/>
          <w:sz w:val="24"/>
        </w:rPr>
        <w:t>r dollar, compared to 2.2 kwacha per dollar in 1985. However, these devaluation and price liberalization measures led to instability in the financial sector. This instability was evident in the configuration of inflation, which eroded the balance sheets of</w:t>
      </w:r>
      <w:r>
        <w:rPr>
          <w:rFonts w:ascii="Times New Roman" w:eastAsia="Times New Roman" w:hAnsi="Times New Roman" w:cs="Times New Roman"/>
          <w:sz w:val="24"/>
        </w:rPr>
        <w:t xml:space="preserve"> financial institutions and resulted in decreases in both. Institutional context: the differences in institutional frameworks, regulatory environments, and governance structures across countries in Sub-Saharan Africa may limit the applicability of findings</w:t>
      </w:r>
      <w:r>
        <w:rPr>
          <w:rFonts w:ascii="Times New Roman" w:eastAsia="Times New Roman" w:hAnsi="Times New Roman" w:cs="Times New Roman"/>
          <w:sz w:val="24"/>
        </w:rPr>
        <w:t xml:space="preserve"> to specific contexts. According to </w:t>
      </w:r>
      <w:proofErr w:type="spellStart"/>
      <w:r>
        <w:rPr>
          <w:rFonts w:ascii="Times New Roman" w:eastAsia="Times New Roman" w:hAnsi="Times New Roman" w:cs="Times New Roman"/>
          <w:sz w:val="24"/>
        </w:rPr>
        <w:t>Simatele</w:t>
      </w:r>
      <w:proofErr w:type="spellEnd"/>
      <w:r>
        <w:rPr>
          <w:rFonts w:ascii="Times New Roman" w:eastAsia="Times New Roman" w:hAnsi="Times New Roman" w:cs="Times New Roman"/>
          <w:sz w:val="24"/>
        </w:rPr>
        <w:t xml:space="preserve"> (2017), the Consumer Price Index (CPI) doubled from 19.65% to 43% between 1983 and 1987, mainly due to the liberalization of interest rates, which consequently led to a consequential increase in money supply agg</w:t>
      </w:r>
      <w:r>
        <w:rPr>
          <w:rFonts w:ascii="Times New Roman" w:eastAsia="Times New Roman" w:hAnsi="Times New Roman" w:cs="Times New Roman"/>
          <w:sz w:val="24"/>
        </w:rPr>
        <w:t>regates.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In the 1990s, Kenya pursued a policy of economic liberalization, which involved removing controls on interest rates, implementing flexible exchange rates, liberalizing capital markets, and devaluing its currency. Open Market Operations (OMO) s</w:t>
      </w:r>
      <w:r>
        <w:rPr>
          <w:rFonts w:ascii="Times New Roman" w:eastAsia="Times New Roman" w:hAnsi="Times New Roman" w:cs="Times New Roman"/>
          <w:sz w:val="24"/>
        </w:rPr>
        <w:t>erved as the primary tool for the Kenyan monetary authorities during this period. This era in Kenya was characterized by notably high interest rates and an excessive money supply. Faced with a troubled financial sector marked by substantial uncertainty and</w:t>
      </w:r>
      <w:r>
        <w:rPr>
          <w:rFonts w:ascii="Times New Roman" w:eastAsia="Times New Roman" w:hAnsi="Times New Roman" w:cs="Times New Roman"/>
          <w:sz w:val="24"/>
        </w:rPr>
        <w:t xml:space="preserve"> instability, the Central Bank of Kenya employed indirect measures to address inflationary pressures.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w:t>
      </w:r>
    </w:p>
    <w:p w:rsidR="00DF0840" w:rsidRDefault="00B3023B">
      <w:pPr>
        <w:keepNext/>
        <w:keepLines/>
        <w:spacing w:before="160" w:after="12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1.2.0Problem Statement</w:t>
      </w:r>
    </w:p>
    <w:p w:rsidR="00DF0840" w:rsidRDefault="00B3023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The financial sector in Sub-Saharan Africa has been vulnerable to economic volatility, prompting concerns about its stability. Although research has investigated the impact of monetary policy on financial stability in the region, a comprehensive analysis i</w:t>
      </w:r>
      <w:r>
        <w:rPr>
          <w:rFonts w:ascii="Times New Roman" w:eastAsia="Times New Roman" w:hAnsi="Times New Roman" w:cs="Times New Roman"/>
          <w:sz w:val="24"/>
        </w:rPr>
        <w:t>s needed to cover the critical period from 2009 to 2023. This timeframe was marked by significant events, including the worldwide financial dilemma, regional economic downturns, and domestic policy reforms, which may have influenced the relationship betwee</w:t>
      </w:r>
      <w:r>
        <w:rPr>
          <w:rFonts w:ascii="Times New Roman" w:eastAsia="Times New Roman" w:hAnsi="Times New Roman" w:cs="Times New Roman"/>
          <w:sz w:val="24"/>
        </w:rPr>
        <w:t xml:space="preserve">n monetary policy and financial stability. Moreover, existing studies lack a cohesive framework to examine the specific channels through which monetary policy affects financial stability in Sub-Saharan Africa during this period. This dissertation seeks to </w:t>
      </w:r>
      <w:r>
        <w:rPr>
          <w:rFonts w:ascii="Times New Roman" w:eastAsia="Times New Roman" w:hAnsi="Times New Roman" w:cs="Times New Roman"/>
          <w:sz w:val="24"/>
        </w:rPr>
        <w:t>address these knowledge gaps by conducting an in-depth analysis of the impact of monetary policy on financial solidity in Sub-Saharan Africa from 2009 to 2023, using a unified and integrated approach. This research aims to provide fresh views into the comp</w:t>
      </w:r>
      <w:r>
        <w:rPr>
          <w:rFonts w:ascii="Times New Roman" w:eastAsia="Times New Roman" w:hAnsi="Times New Roman" w:cs="Times New Roman"/>
          <w:sz w:val="24"/>
        </w:rPr>
        <w:t>lex dynamics betwixt monetary policy and financial stability in the region, contributing to the existing body of knowledge and offering actionable recommendations for policymakers and stakeholders to enhance financial stability in Sub-Saharan Africa.</w:t>
      </w:r>
    </w:p>
    <w:p w:rsidR="00DF0840" w:rsidRDefault="00DF0840">
      <w:pPr>
        <w:spacing w:after="0" w:line="360" w:lineRule="auto"/>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1.3.</w:t>
      </w:r>
      <w:r>
        <w:rPr>
          <w:rFonts w:ascii="Times New Roman" w:eastAsia="Times New Roman" w:hAnsi="Times New Roman" w:cs="Times New Roman"/>
          <w:b/>
          <w:sz w:val="24"/>
        </w:rPr>
        <w:t xml:space="preserve"> Objectives of the Study</w:t>
      </w:r>
    </w:p>
    <w:p w:rsidR="00DF0840" w:rsidRDefault="00B3023B">
      <w:pPr>
        <w:numPr>
          <w:ilvl w:val="0"/>
          <w:numId w:val="1"/>
        </w:numPr>
        <w:tabs>
          <w:tab w:val="left" w:pos="420"/>
        </w:tabs>
        <w:spacing w:after="0" w:line="360" w:lineRule="auto"/>
        <w:ind w:left="420" w:hanging="420"/>
        <w:jc w:val="both"/>
        <w:rPr>
          <w:rFonts w:ascii="Times New Roman" w:eastAsia="Times New Roman" w:hAnsi="Times New Roman" w:cs="Times New Roman"/>
          <w:sz w:val="24"/>
        </w:rPr>
      </w:pPr>
      <w:r>
        <w:rPr>
          <w:rFonts w:ascii="Times New Roman" w:eastAsia="Times New Roman" w:hAnsi="Times New Roman" w:cs="Times New Roman"/>
          <w:sz w:val="24"/>
        </w:rPr>
        <w:t xml:space="preserve">To assess the impact of expansionary and </w:t>
      </w:r>
      <w:proofErr w:type="spellStart"/>
      <w:r>
        <w:rPr>
          <w:rFonts w:ascii="Times New Roman" w:eastAsia="Times New Roman" w:hAnsi="Times New Roman" w:cs="Times New Roman"/>
          <w:sz w:val="24"/>
        </w:rPr>
        <w:t>contractionary</w:t>
      </w:r>
      <w:proofErr w:type="spellEnd"/>
      <w:r>
        <w:rPr>
          <w:rFonts w:ascii="Times New Roman" w:eastAsia="Times New Roman" w:hAnsi="Times New Roman" w:cs="Times New Roman"/>
          <w:sz w:val="24"/>
        </w:rPr>
        <w:t xml:space="preserve"> monetary policy measures on the stability of the financial sector in sub-Saharan Africa from 2009 to 2023 by analyzing key financial stability indicators such as bank profitab</w:t>
      </w:r>
      <w:r>
        <w:rPr>
          <w:rFonts w:ascii="Times New Roman" w:eastAsia="Times New Roman" w:hAnsi="Times New Roman" w:cs="Times New Roman"/>
          <w:sz w:val="24"/>
        </w:rPr>
        <w:t>ility, credit availability, and systemic risk.</w:t>
      </w:r>
    </w:p>
    <w:p w:rsidR="00DF0840" w:rsidRDefault="00DF0840">
      <w:pPr>
        <w:spacing w:after="0" w:line="360" w:lineRule="auto"/>
        <w:jc w:val="both"/>
        <w:rPr>
          <w:rFonts w:ascii="Times New Roman" w:eastAsia="Times New Roman" w:hAnsi="Times New Roman" w:cs="Times New Roman"/>
          <w:sz w:val="24"/>
        </w:rPr>
      </w:pPr>
    </w:p>
    <w:p w:rsidR="00DF0840" w:rsidRDefault="00B3023B">
      <w:pPr>
        <w:numPr>
          <w:ilvl w:val="0"/>
          <w:numId w:val="2"/>
        </w:numPr>
        <w:tabs>
          <w:tab w:val="left" w:pos="420"/>
        </w:tabs>
        <w:spacing w:after="0" w:line="360" w:lineRule="auto"/>
        <w:ind w:left="420" w:hanging="420"/>
        <w:jc w:val="both"/>
        <w:rPr>
          <w:rFonts w:ascii="Times New Roman" w:eastAsia="Times New Roman" w:hAnsi="Times New Roman" w:cs="Times New Roman"/>
          <w:sz w:val="24"/>
        </w:rPr>
      </w:pPr>
      <w:r>
        <w:rPr>
          <w:rFonts w:ascii="Times New Roman" w:eastAsia="Times New Roman" w:hAnsi="Times New Roman" w:cs="Times New Roman"/>
          <w:sz w:val="24"/>
        </w:rPr>
        <w:t>To investigate the role of interest rate fluctuations, influenced by monetary policy decisions, in shaping the resilience of banks and financial institutions in sub-Saharan Africa during the specified period,</w:t>
      </w:r>
      <w:r>
        <w:rPr>
          <w:rFonts w:ascii="Times New Roman" w:eastAsia="Times New Roman" w:hAnsi="Times New Roman" w:cs="Times New Roman"/>
          <w:sz w:val="24"/>
        </w:rPr>
        <w:t xml:space="preserve"> focusing on how alterations in interest rates affect the performance and risk exposure of financial institutions.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numPr>
          <w:ilvl w:val="0"/>
          <w:numId w:val="3"/>
        </w:numPr>
        <w:tabs>
          <w:tab w:val="left" w:pos="420"/>
        </w:tabs>
        <w:spacing w:after="0" w:line="360" w:lineRule="auto"/>
        <w:ind w:left="420" w:hanging="420"/>
        <w:jc w:val="both"/>
        <w:rPr>
          <w:rFonts w:ascii="Times New Roman" w:eastAsia="Times New Roman" w:hAnsi="Times New Roman" w:cs="Times New Roman"/>
          <w:sz w:val="24"/>
        </w:rPr>
      </w:pPr>
      <w:r>
        <w:rPr>
          <w:rFonts w:ascii="Times New Roman" w:eastAsia="Times New Roman" w:hAnsi="Times New Roman" w:cs="Times New Roman"/>
          <w:sz w:val="24"/>
        </w:rPr>
        <w:t xml:space="preserve">To examine the effects of liquidity management tools, particularly open market operations, employed in monetary policy on the stability of </w:t>
      </w:r>
      <w:r>
        <w:rPr>
          <w:rFonts w:ascii="Times New Roman" w:eastAsia="Times New Roman" w:hAnsi="Times New Roman" w:cs="Times New Roman"/>
          <w:sz w:val="24"/>
        </w:rPr>
        <w:t>financial markets in sub-Saharan Africa between 2009 and 2023, with a specific emphasis on analyzing the impact of these tools on market liquidity, interest rates, and financial stability indicators.</w:t>
      </w: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B3023B">
      <w:pPr>
        <w:keepNext/>
        <w:keepLines/>
        <w:spacing w:before="160" w:after="12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1.4.0 Research Questions</w:t>
      </w:r>
    </w:p>
    <w:p w:rsidR="00DF0840" w:rsidRDefault="00B3023B">
      <w:pPr>
        <w:numPr>
          <w:ilvl w:val="0"/>
          <w:numId w:val="4"/>
        </w:numPr>
        <w:tabs>
          <w:tab w:val="left" w:pos="420"/>
        </w:tabs>
        <w:spacing w:after="0" w:line="360" w:lineRule="auto"/>
        <w:ind w:left="420" w:hanging="420"/>
        <w:jc w:val="both"/>
        <w:rPr>
          <w:rFonts w:ascii="Times New Roman" w:eastAsia="Times New Roman" w:hAnsi="Times New Roman" w:cs="Times New Roman"/>
          <w:sz w:val="24"/>
        </w:rPr>
      </w:pPr>
      <w:r>
        <w:rPr>
          <w:rFonts w:ascii="Times New Roman" w:eastAsia="Times New Roman" w:hAnsi="Times New Roman" w:cs="Times New Roman"/>
          <w:sz w:val="24"/>
        </w:rPr>
        <w:t xml:space="preserve">To </w:t>
      </w:r>
      <w:proofErr w:type="spellStart"/>
      <w:r>
        <w:rPr>
          <w:rFonts w:ascii="Times New Roman" w:eastAsia="Times New Roman" w:hAnsi="Times New Roman" w:cs="Times New Roman"/>
          <w:sz w:val="24"/>
        </w:rPr>
        <w:t>aaccomplish</w:t>
      </w:r>
      <w:proofErr w:type="spellEnd"/>
      <w:r>
        <w:rPr>
          <w:rFonts w:ascii="Times New Roman" w:eastAsia="Times New Roman" w:hAnsi="Times New Roman" w:cs="Times New Roman"/>
          <w:sz w:val="24"/>
        </w:rPr>
        <w:t xml:space="preserve"> the objectives</w:t>
      </w:r>
      <w:r>
        <w:rPr>
          <w:rFonts w:ascii="Times New Roman" w:eastAsia="Times New Roman" w:hAnsi="Times New Roman" w:cs="Times New Roman"/>
          <w:sz w:val="24"/>
        </w:rPr>
        <w:t xml:space="preserve"> above, the project pursues to answer the forthcoming questions:</w:t>
      </w:r>
    </w:p>
    <w:p w:rsidR="00DF0840" w:rsidRDefault="00B3023B">
      <w:pPr>
        <w:numPr>
          <w:ilvl w:val="0"/>
          <w:numId w:val="4"/>
        </w:numPr>
        <w:tabs>
          <w:tab w:val="left" w:pos="420"/>
        </w:tabs>
        <w:spacing w:after="0" w:line="360" w:lineRule="auto"/>
        <w:ind w:left="420" w:hanging="420"/>
        <w:jc w:val="both"/>
        <w:rPr>
          <w:rFonts w:ascii="Times New Roman" w:eastAsia="Times New Roman" w:hAnsi="Times New Roman" w:cs="Times New Roman"/>
          <w:sz w:val="24"/>
        </w:rPr>
      </w:pPr>
      <w:r>
        <w:rPr>
          <w:rFonts w:ascii="Times New Roman" w:eastAsia="Times New Roman" w:hAnsi="Times New Roman" w:cs="Times New Roman"/>
          <w:sz w:val="24"/>
        </w:rPr>
        <w:t xml:space="preserve">How does the implementation of expansionary or </w:t>
      </w:r>
      <w:proofErr w:type="spellStart"/>
      <w:r>
        <w:rPr>
          <w:rFonts w:ascii="Times New Roman" w:eastAsia="Times New Roman" w:hAnsi="Times New Roman" w:cs="Times New Roman"/>
          <w:sz w:val="24"/>
        </w:rPr>
        <w:t>contractionary</w:t>
      </w:r>
      <w:proofErr w:type="spellEnd"/>
      <w:r>
        <w:rPr>
          <w:rFonts w:ascii="Times New Roman" w:eastAsia="Times New Roman" w:hAnsi="Times New Roman" w:cs="Times New Roman"/>
          <w:sz w:val="24"/>
        </w:rPr>
        <w:t xml:space="preserve"> monetary policy impact the stability of the financial domain in Sub-Saharan Africa?</w:t>
      </w:r>
    </w:p>
    <w:p w:rsidR="00DF0840" w:rsidRDefault="00B3023B">
      <w:pPr>
        <w:numPr>
          <w:ilvl w:val="0"/>
          <w:numId w:val="4"/>
        </w:numPr>
        <w:tabs>
          <w:tab w:val="left" w:pos="420"/>
        </w:tabs>
        <w:spacing w:after="0" w:line="360" w:lineRule="auto"/>
        <w:ind w:left="420" w:hanging="420"/>
        <w:jc w:val="both"/>
        <w:rPr>
          <w:rFonts w:ascii="Times New Roman" w:eastAsia="Times New Roman" w:hAnsi="Times New Roman" w:cs="Times New Roman"/>
          <w:sz w:val="24"/>
        </w:rPr>
      </w:pPr>
      <w:r>
        <w:rPr>
          <w:rFonts w:ascii="Times New Roman" w:eastAsia="Times New Roman" w:hAnsi="Times New Roman" w:cs="Times New Roman"/>
          <w:sz w:val="24"/>
        </w:rPr>
        <w:t xml:space="preserve">What role do interest rate fluctuations, guided by monetary policy decisions, play in shaping the </w:t>
      </w:r>
      <w:proofErr w:type="spellStart"/>
      <w:r>
        <w:rPr>
          <w:rFonts w:ascii="Times New Roman" w:eastAsia="Times New Roman" w:hAnsi="Times New Roman" w:cs="Times New Roman"/>
          <w:sz w:val="24"/>
        </w:rPr>
        <w:t>rrobustness</w:t>
      </w:r>
      <w:proofErr w:type="spellEnd"/>
      <w:r>
        <w:rPr>
          <w:rFonts w:ascii="Times New Roman" w:eastAsia="Times New Roman" w:hAnsi="Times New Roman" w:cs="Times New Roman"/>
          <w:sz w:val="24"/>
        </w:rPr>
        <w:t xml:space="preserve"> of banks and financial institutions in the region?</w:t>
      </w:r>
    </w:p>
    <w:p w:rsidR="00DF0840" w:rsidRDefault="00B3023B">
      <w:pPr>
        <w:numPr>
          <w:ilvl w:val="0"/>
          <w:numId w:val="4"/>
        </w:numPr>
        <w:tabs>
          <w:tab w:val="left" w:pos="420"/>
        </w:tabs>
        <w:spacing w:after="0" w:line="360" w:lineRule="auto"/>
        <w:ind w:left="420" w:hanging="420"/>
        <w:jc w:val="both"/>
        <w:rPr>
          <w:rFonts w:ascii="Times New Roman" w:eastAsia="Times New Roman" w:hAnsi="Times New Roman" w:cs="Times New Roman"/>
          <w:b/>
          <w:sz w:val="24"/>
        </w:rPr>
      </w:pPr>
      <w:r>
        <w:rPr>
          <w:rFonts w:ascii="Times New Roman" w:eastAsia="Times New Roman" w:hAnsi="Times New Roman" w:cs="Times New Roman"/>
          <w:sz w:val="24"/>
        </w:rPr>
        <w:t>To what extent do liquidity management tools used in monetary policy, such as open market opera</w:t>
      </w:r>
      <w:r>
        <w:rPr>
          <w:rFonts w:ascii="Times New Roman" w:eastAsia="Times New Roman" w:hAnsi="Times New Roman" w:cs="Times New Roman"/>
          <w:sz w:val="24"/>
        </w:rPr>
        <w:t>tions, impact the stability of financial markets in Sub-Saharan Africa?</w:t>
      </w:r>
    </w:p>
    <w:p w:rsidR="00DF0840" w:rsidRDefault="00B3023B">
      <w:pPr>
        <w:keepNext/>
        <w:keepLines/>
        <w:spacing w:before="160" w:after="12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1.5.0 Significance</w:t>
      </w:r>
    </w:p>
    <w:p w:rsidR="00DF0840" w:rsidRDefault="00B3023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This research offers a chance to expand our understanding of how monetary policy decisions impact the financial sector's resilience in sub-Saharan Africa. By examini</w:t>
      </w:r>
      <w:r>
        <w:rPr>
          <w:rFonts w:ascii="Times New Roman" w:eastAsia="Times New Roman" w:hAnsi="Times New Roman" w:cs="Times New Roman"/>
          <w:sz w:val="24"/>
        </w:rPr>
        <w:t>ng this relationship over a specific period (2009-2023), we can uncover valuable insights that enhance our knowledge of how monetary policy tools influence financial stability in the region. The findings of this study will have direct implications for poli</w:t>
      </w:r>
      <w:r>
        <w:rPr>
          <w:rFonts w:ascii="Times New Roman" w:eastAsia="Times New Roman" w:hAnsi="Times New Roman" w:cs="Times New Roman"/>
          <w:sz w:val="24"/>
        </w:rPr>
        <w:t>cymakers, central banks, and regulatory bodies in sub-Saharan Africa, enabling them to design more effective policies that foster a stable and robust financial sector. For instance, previous research has shown a positive correlation between monetary policy</w:t>
      </w:r>
      <w:r>
        <w:rPr>
          <w:rFonts w:ascii="Times New Roman" w:eastAsia="Times New Roman" w:hAnsi="Times New Roman" w:cs="Times New Roman"/>
          <w:sz w:val="24"/>
        </w:rPr>
        <w:t xml:space="preserve"> implementation and bank performance in Nigeria. Similarly, this study's outcomes will benefit financial institutions, investors, and businesses operating in the region by informing their decision-making processes, risk management strategies, and investmen</w:t>
      </w:r>
      <w:r>
        <w:rPr>
          <w:rFonts w:ascii="Times New Roman" w:eastAsia="Times New Roman" w:hAnsi="Times New Roman" w:cs="Times New Roman"/>
          <w:sz w:val="24"/>
        </w:rPr>
        <w:t>t choices. Given the critical role of a stable financial sector in promoting economic growth and development, this research will provide actionable insights into how monetary policy can be leveraged to enhance financial stability, contributing to sustainab</w:t>
      </w:r>
      <w:r>
        <w:rPr>
          <w:rFonts w:ascii="Times New Roman" w:eastAsia="Times New Roman" w:hAnsi="Times New Roman" w:cs="Times New Roman"/>
          <w:sz w:val="24"/>
        </w:rPr>
        <w:t>le economic development in sub-Saharan Africa. By conducting a longitudinal analysis over a specific period, this study will offer a comprehensive understanding of how trends, policies, and external factors have shaped the financial landscape in sub-Sahara</w:t>
      </w:r>
      <w:r>
        <w:rPr>
          <w:rFonts w:ascii="Times New Roman" w:eastAsia="Times New Roman" w:hAnsi="Times New Roman" w:cs="Times New Roman"/>
          <w:sz w:val="24"/>
        </w:rPr>
        <w:t>n Africa. Additionally, comparative analysis with other regions or countries will enable the identification of best practices, lessons learned, and unique aspects of monetary policy responses in sub-Saharan Africa.</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keepNext/>
        <w:keepLines/>
        <w:spacing w:before="160" w:after="12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1.6.0 Assumption of the Sturdy</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Causalit</w:t>
      </w:r>
      <w:r>
        <w:rPr>
          <w:rFonts w:ascii="Times New Roman" w:eastAsia="Times New Roman" w:hAnsi="Times New Roman" w:cs="Times New Roman"/>
          <w:sz w:val="24"/>
        </w:rPr>
        <w:t xml:space="preserve">y: The study assumes that changes in monetary policy instruments </w:t>
      </w:r>
      <w:proofErr w:type="spellStart"/>
      <w:r>
        <w:rPr>
          <w:rFonts w:ascii="Times New Roman" w:eastAsia="Times New Roman" w:hAnsi="Times New Roman" w:cs="Times New Roman"/>
          <w:sz w:val="24"/>
        </w:rPr>
        <w:t>posses</w:t>
      </w:r>
      <w:proofErr w:type="spellEnd"/>
      <w:r>
        <w:rPr>
          <w:rFonts w:ascii="Times New Roman" w:eastAsia="Times New Roman" w:hAnsi="Times New Roman" w:cs="Times New Roman"/>
          <w:sz w:val="24"/>
        </w:rPr>
        <w:t xml:space="preserve"> a causal effect on the stability of the financial sector in sub-Saharan Africa.</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numPr>
          <w:ilvl w:val="0"/>
          <w:numId w:val="5"/>
        </w:numPr>
        <w:tabs>
          <w:tab w:val="left" w:pos="420"/>
        </w:tabs>
        <w:spacing w:after="0" w:line="360" w:lineRule="auto"/>
        <w:ind w:left="420" w:hanging="420"/>
        <w:jc w:val="both"/>
        <w:rPr>
          <w:rFonts w:ascii="Times New Roman" w:eastAsia="Times New Roman" w:hAnsi="Times New Roman" w:cs="Times New Roman"/>
          <w:sz w:val="24"/>
        </w:rPr>
      </w:pPr>
      <w:r>
        <w:rPr>
          <w:rFonts w:ascii="Times New Roman" w:eastAsia="Times New Roman" w:hAnsi="Times New Roman" w:cs="Times New Roman"/>
          <w:sz w:val="24"/>
        </w:rPr>
        <w:t>Rationality: The study assumes that policymakers in sub-Saharan African countries act rationally and m</w:t>
      </w:r>
      <w:r>
        <w:rPr>
          <w:rFonts w:ascii="Times New Roman" w:eastAsia="Times New Roman" w:hAnsi="Times New Roman" w:cs="Times New Roman"/>
          <w:sz w:val="24"/>
        </w:rPr>
        <w:t>ake decisions based on economic principles and objectives when formulating and implementing monetary policy.</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numPr>
          <w:ilvl w:val="0"/>
          <w:numId w:val="6"/>
        </w:numPr>
        <w:tabs>
          <w:tab w:val="left" w:pos="420"/>
        </w:tabs>
        <w:spacing w:after="0" w:line="360" w:lineRule="auto"/>
        <w:ind w:left="420" w:hanging="420"/>
        <w:jc w:val="both"/>
        <w:rPr>
          <w:rFonts w:ascii="Times New Roman" w:eastAsia="Times New Roman" w:hAnsi="Times New Roman" w:cs="Times New Roman"/>
          <w:sz w:val="24"/>
        </w:rPr>
      </w:pPr>
      <w:r>
        <w:rPr>
          <w:rFonts w:ascii="Times New Roman" w:eastAsia="Times New Roman" w:hAnsi="Times New Roman" w:cs="Times New Roman"/>
          <w:sz w:val="24"/>
        </w:rPr>
        <w:t>Data Reliability: The study assumes that the data inured to analyze the effects of monetary policy on financial sector reliability in sub-Saharan</w:t>
      </w:r>
      <w:r>
        <w:rPr>
          <w:rFonts w:ascii="Times New Roman" w:eastAsia="Times New Roman" w:hAnsi="Times New Roman" w:cs="Times New Roman"/>
          <w:sz w:val="24"/>
        </w:rPr>
        <w:t xml:space="preserve"> Africa is accurate, reliable, and representative of the countries and time periods under consideration.</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numPr>
          <w:ilvl w:val="0"/>
          <w:numId w:val="7"/>
        </w:numPr>
        <w:tabs>
          <w:tab w:val="left" w:pos="420"/>
        </w:tabs>
        <w:spacing w:after="0" w:line="360" w:lineRule="auto"/>
        <w:ind w:left="420" w:hanging="420"/>
        <w:jc w:val="both"/>
        <w:rPr>
          <w:rFonts w:ascii="Times New Roman" w:eastAsia="Times New Roman" w:hAnsi="Times New Roman" w:cs="Times New Roman"/>
          <w:sz w:val="24"/>
        </w:rPr>
      </w:pPr>
      <w:r>
        <w:rPr>
          <w:rFonts w:ascii="Times New Roman" w:eastAsia="Times New Roman" w:hAnsi="Times New Roman" w:cs="Times New Roman"/>
          <w:sz w:val="24"/>
        </w:rPr>
        <w:t>External Factors: The study assumes that other exogenous factors, such as political stability, global economic conditions, and technological advancem</w:t>
      </w:r>
      <w:r>
        <w:rPr>
          <w:rFonts w:ascii="Times New Roman" w:eastAsia="Times New Roman" w:hAnsi="Times New Roman" w:cs="Times New Roman"/>
          <w:sz w:val="24"/>
        </w:rPr>
        <w:t>ents, do not significantly confound the relationship betwixt monetary policy and financial sector soundness in sub-Saharan Africa.</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numPr>
          <w:ilvl w:val="0"/>
          <w:numId w:val="8"/>
        </w:numPr>
        <w:tabs>
          <w:tab w:val="left" w:pos="420"/>
        </w:tabs>
        <w:spacing w:after="0" w:line="360" w:lineRule="auto"/>
        <w:ind w:left="420" w:hanging="420"/>
        <w:jc w:val="both"/>
        <w:rPr>
          <w:rFonts w:ascii="Times New Roman" w:eastAsia="Times New Roman" w:hAnsi="Times New Roman" w:cs="Times New Roman"/>
          <w:sz w:val="24"/>
        </w:rPr>
      </w:pPr>
      <w:r>
        <w:rPr>
          <w:rFonts w:ascii="Times New Roman" w:eastAsia="Times New Roman" w:hAnsi="Times New Roman" w:cs="Times New Roman"/>
          <w:sz w:val="24"/>
        </w:rPr>
        <w:t>Institutional Framework: The project assumes that the institutional framework for monetary policy implementation in sub-Saharan African countries is effective, transparent, and conducive to achieving financial sector stability objectives.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numPr>
          <w:ilvl w:val="0"/>
          <w:numId w:val="9"/>
        </w:numPr>
        <w:tabs>
          <w:tab w:val="left" w:pos="420"/>
        </w:tabs>
        <w:spacing w:after="0" w:line="360" w:lineRule="auto"/>
        <w:ind w:left="420" w:hanging="420"/>
        <w:jc w:val="both"/>
        <w:rPr>
          <w:rFonts w:ascii="Times New Roman" w:eastAsia="Times New Roman" w:hAnsi="Times New Roman" w:cs="Times New Roman"/>
          <w:sz w:val="24"/>
        </w:rPr>
      </w:pPr>
      <w:r>
        <w:rPr>
          <w:rFonts w:ascii="Times New Roman" w:eastAsia="Times New Roman" w:hAnsi="Times New Roman" w:cs="Times New Roman"/>
          <w:sz w:val="24"/>
        </w:rPr>
        <w:t>Generalizabilit</w:t>
      </w:r>
      <w:r>
        <w:rPr>
          <w:rFonts w:ascii="Times New Roman" w:eastAsia="Times New Roman" w:hAnsi="Times New Roman" w:cs="Times New Roman"/>
          <w:sz w:val="24"/>
        </w:rPr>
        <w:t>y: The study assumes that findings related to the effects of monetary policy on financial sector stability in sub-Saharan Africa can be generalized to other regions or contexts with similar characteristics.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w:t>
      </w:r>
    </w:p>
    <w:p w:rsidR="00DF0840" w:rsidRDefault="00B3023B">
      <w:pPr>
        <w:keepNext/>
        <w:keepLines/>
        <w:spacing w:before="160" w:after="12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1.6.0 Scope</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This project examines the impact of monetary policy on financial sector soundness in Sub-Saharan Africa from 2009 to 2023. It focuses on analyzing the rapport between monetary policy instruments and key financial sector indicators, assessing transmission m</w:t>
      </w:r>
      <w:r>
        <w:rPr>
          <w:rFonts w:ascii="Times New Roman" w:eastAsia="Times New Roman" w:hAnsi="Times New Roman" w:cs="Times New Roman"/>
          <w:sz w:val="24"/>
        </w:rPr>
        <w:t>echanisms, comparing country responses to policy shocks, and exploring external factors' influence.</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study utilizes quantitative methods to offer experiential evidence and insights for policymakers and practitioners in the region.</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This research stud</w:t>
      </w:r>
      <w:r>
        <w:rPr>
          <w:rFonts w:ascii="Times New Roman" w:eastAsia="Times New Roman" w:hAnsi="Times New Roman" w:cs="Times New Roman"/>
          <w:sz w:val="24"/>
        </w:rPr>
        <w:t>y gathers annual data from the World Bank, evidence from Sub-Saharan Africa, Studies in Economy and Public Policy (2022), ERB support, socio-economic review, and Journal of African Development economic indicators, academic journals.</w:t>
      </w:r>
    </w:p>
    <w:p w:rsidR="00DF0840" w:rsidRDefault="00B3023B">
      <w:pPr>
        <w:keepNext/>
        <w:keepLines/>
        <w:spacing w:before="160" w:after="12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w:t>
      </w:r>
    </w:p>
    <w:p w:rsidR="00DF0840" w:rsidRDefault="00B3023B">
      <w:pPr>
        <w:keepNext/>
        <w:keepLines/>
        <w:spacing w:before="160" w:after="12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1.7 Limitations.</w:t>
      </w:r>
    </w:p>
    <w:p w:rsidR="00DF0840" w:rsidRDefault="00B3023B">
      <w:pPr>
        <w:numPr>
          <w:ilvl w:val="0"/>
          <w:numId w:val="10"/>
        </w:numPr>
        <w:tabs>
          <w:tab w:val="left" w:pos="420"/>
        </w:tabs>
        <w:spacing w:after="0" w:line="360" w:lineRule="auto"/>
        <w:ind w:left="420" w:hanging="420"/>
        <w:jc w:val="both"/>
        <w:rPr>
          <w:rFonts w:ascii="Times New Roman" w:eastAsia="Times New Roman" w:hAnsi="Times New Roman" w:cs="Times New Roman"/>
          <w:sz w:val="24"/>
        </w:rPr>
      </w:pPr>
      <w:r>
        <w:rPr>
          <w:rFonts w:ascii="Times New Roman" w:eastAsia="Times New Roman" w:hAnsi="Times New Roman" w:cs="Times New Roman"/>
          <w:sz w:val="24"/>
        </w:rPr>
        <w:t>Het</w:t>
      </w:r>
      <w:r>
        <w:rPr>
          <w:rFonts w:ascii="Times New Roman" w:eastAsia="Times New Roman" w:hAnsi="Times New Roman" w:cs="Times New Roman"/>
          <w:sz w:val="24"/>
        </w:rPr>
        <w:t>erogeneity across countries, Sub-Saharan Africa is a diverse region with countries at different stages of economic development, varying institutional frameworks, and different monetary policy regimes. The heterogeneity across countries can make it difficul</w:t>
      </w:r>
      <w:r>
        <w:rPr>
          <w:rFonts w:ascii="Times New Roman" w:eastAsia="Times New Roman" w:hAnsi="Times New Roman" w:cs="Times New Roman"/>
          <w:sz w:val="24"/>
        </w:rPr>
        <w:t>t to generalize findings and draw robust conclusions that are applicable to the entire region.</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numPr>
          <w:ilvl w:val="0"/>
          <w:numId w:val="11"/>
        </w:numPr>
        <w:tabs>
          <w:tab w:val="left" w:pos="420"/>
        </w:tabs>
        <w:spacing w:after="0" w:line="360" w:lineRule="auto"/>
        <w:ind w:left="420" w:hanging="420"/>
        <w:jc w:val="both"/>
        <w:rPr>
          <w:rFonts w:ascii="Times New Roman" w:eastAsia="Times New Roman" w:hAnsi="Times New Roman" w:cs="Times New Roman"/>
          <w:sz w:val="24"/>
        </w:rPr>
      </w:pPr>
      <w:r>
        <w:rPr>
          <w:rFonts w:ascii="Times New Roman" w:eastAsia="Times New Roman" w:hAnsi="Times New Roman" w:cs="Times New Roman"/>
          <w:sz w:val="24"/>
        </w:rPr>
        <w:t>Data quality and the limited availability or reliability of data on monetary policy measures, financial sector indicators, and other relevant variables in Sub-Saharan Africa may constrain the depth and accuracy of the analysis.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numPr>
          <w:ilvl w:val="0"/>
          <w:numId w:val="12"/>
        </w:numPr>
        <w:tabs>
          <w:tab w:val="left" w:pos="420"/>
        </w:tabs>
        <w:spacing w:after="0" w:line="360" w:lineRule="auto"/>
        <w:ind w:left="420" w:hanging="420"/>
        <w:jc w:val="both"/>
        <w:rPr>
          <w:rFonts w:ascii="Times New Roman" w:eastAsia="Times New Roman" w:hAnsi="Times New Roman" w:cs="Times New Roman"/>
          <w:sz w:val="24"/>
        </w:rPr>
      </w:pPr>
      <w:r>
        <w:rPr>
          <w:rFonts w:ascii="Times New Roman" w:eastAsia="Times New Roman" w:hAnsi="Times New Roman" w:cs="Times New Roman"/>
          <w:sz w:val="24"/>
        </w:rPr>
        <w:t>Policy Implementation: The</w:t>
      </w:r>
      <w:r>
        <w:rPr>
          <w:rFonts w:ascii="Times New Roman" w:eastAsia="Times New Roman" w:hAnsi="Times New Roman" w:cs="Times New Roman"/>
          <w:sz w:val="24"/>
        </w:rPr>
        <w:t xml:space="preserve"> study may not address the effectiveness of monetary policy transmission mechanisms or the implementation capacity of central banks and financial regulators in the region.</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numPr>
          <w:ilvl w:val="0"/>
          <w:numId w:val="13"/>
        </w:numPr>
        <w:tabs>
          <w:tab w:val="left" w:pos="420"/>
        </w:tabs>
        <w:spacing w:after="0" w:line="360" w:lineRule="auto"/>
        <w:ind w:left="420" w:hanging="420"/>
        <w:jc w:val="both"/>
        <w:rPr>
          <w:rFonts w:ascii="Times New Roman" w:eastAsia="Times New Roman" w:hAnsi="Times New Roman" w:cs="Times New Roman"/>
          <w:sz w:val="24"/>
        </w:rPr>
      </w:pPr>
      <w:r>
        <w:rPr>
          <w:rFonts w:ascii="Times New Roman" w:eastAsia="Times New Roman" w:hAnsi="Times New Roman" w:cs="Times New Roman"/>
          <w:sz w:val="24"/>
        </w:rPr>
        <w:t>Institutional context: differences in institutional frameworks, regulatory environ</w:t>
      </w:r>
      <w:r>
        <w:rPr>
          <w:rFonts w:ascii="Times New Roman" w:eastAsia="Times New Roman" w:hAnsi="Times New Roman" w:cs="Times New Roman"/>
          <w:sz w:val="24"/>
        </w:rPr>
        <w:t>ments, and governance structures across countries in Sub-Saharan Africa may limit the applicability of findings to specific contexts.</w:t>
      </w:r>
    </w:p>
    <w:p w:rsidR="00DF0840" w:rsidRDefault="00DF0840">
      <w:pPr>
        <w:spacing w:after="0" w:line="360" w:lineRule="auto"/>
        <w:jc w:val="both"/>
        <w:rPr>
          <w:rFonts w:ascii="Times New Roman" w:eastAsia="Times New Roman" w:hAnsi="Times New Roman" w:cs="Times New Roman"/>
          <w:sz w:val="24"/>
        </w:rPr>
      </w:pPr>
    </w:p>
    <w:p w:rsidR="00DF0840" w:rsidRDefault="00B3023B">
      <w:pPr>
        <w:keepNext/>
        <w:keepLines/>
        <w:spacing w:before="160" w:after="12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1.8.0 Delimitation</w:t>
      </w:r>
    </w:p>
    <w:p w:rsidR="00DF0840" w:rsidRDefault="00B3023B">
      <w:pPr>
        <w:numPr>
          <w:ilvl w:val="0"/>
          <w:numId w:val="14"/>
        </w:numPr>
        <w:tabs>
          <w:tab w:val="left" w:pos="420"/>
        </w:tabs>
        <w:spacing w:after="0" w:line="360" w:lineRule="auto"/>
        <w:ind w:left="420" w:hanging="420"/>
        <w:jc w:val="both"/>
        <w:rPr>
          <w:rFonts w:ascii="Times New Roman" w:eastAsia="Times New Roman" w:hAnsi="Times New Roman" w:cs="Times New Roman"/>
          <w:sz w:val="24"/>
        </w:rPr>
      </w:pPr>
      <w:r>
        <w:rPr>
          <w:rFonts w:ascii="Times New Roman" w:eastAsia="Times New Roman" w:hAnsi="Times New Roman" w:cs="Times New Roman"/>
          <w:sz w:val="24"/>
        </w:rPr>
        <w:t xml:space="preserve">The study will focus specifically on Sub-Saharan Africa, excluding other regions or countries outside </w:t>
      </w:r>
      <w:r>
        <w:rPr>
          <w:rFonts w:ascii="Times New Roman" w:eastAsia="Times New Roman" w:hAnsi="Times New Roman" w:cs="Times New Roman"/>
          <w:sz w:val="24"/>
        </w:rPr>
        <w:t>of this scope.</w:t>
      </w:r>
    </w:p>
    <w:p w:rsidR="00DF0840" w:rsidRDefault="00B3023B">
      <w:pPr>
        <w:numPr>
          <w:ilvl w:val="0"/>
          <w:numId w:val="14"/>
        </w:numPr>
        <w:tabs>
          <w:tab w:val="left" w:pos="420"/>
        </w:tabs>
        <w:spacing w:after="0" w:line="360" w:lineRule="auto"/>
        <w:ind w:left="42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The study focuses specifically on the period from 2009 to 2023, limiting the analysis to trends and developments within this time frame.</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study may not examine how well monetary policy is carried out through various channels or the ab</w:t>
      </w:r>
      <w:r>
        <w:rPr>
          <w:rFonts w:ascii="Times New Roman" w:eastAsia="Times New Roman" w:hAnsi="Times New Roman" w:cs="Times New Roman"/>
          <w:sz w:val="24"/>
        </w:rPr>
        <w:t>ility of central banks and financial regulators in the region to effectively put policies into practice.</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numPr>
          <w:ilvl w:val="0"/>
          <w:numId w:val="15"/>
        </w:numPr>
        <w:tabs>
          <w:tab w:val="left" w:pos="420"/>
        </w:tabs>
        <w:spacing w:after="0" w:line="360" w:lineRule="auto"/>
        <w:ind w:left="420" w:hanging="420"/>
        <w:jc w:val="both"/>
        <w:rPr>
          <w:rFonts w:ascii="Times New Roman" w:eastAsia="Times New Roman" w:hAnsi="Times New Roman" w:cs="Times New Roman"/>
          <w:sz w:val="24"/>
        </w:rPr>
      </w:pPr>
      <w:r>
        <w:rPr>
          <w:rFonts w:ascii="Times New Roman" w:eastAsia="Times New Roman" w:hAnsi="Times New Roman" w:cs="Times New Roman"/>
          <w:sz w:val="24"/>
        </w:rPr>
        <w:t xml:space="preserve">The study will rely on data collected from government budget reports, agriculture sector reports, economic indicators, academic journals, international organizations (World Bank, IMF, </w:t>
      </w:r>
      <w:proofErr w:type="gramStart"/>
      <w:r>
        <w:rPr>
          <w:rFonts w:ascii="Times New Roman" w:eastAsia="Times New Roman" w:hAnsi="Times New Roman" w:cs="Times New Roman"/>
          <w:sz w:val="24"/>
        </w:rPr>
        <w:t>FAO</w:t>
      </w:r>
      <w:proofErr w:type="gramEnd"/>
      <w:r>
        <w:rPr>
          <w:rFonts w:ascii="Times New Roman" w:eastAsia="Times New Roman" w:hAnsi="Times New Roman" w:cs="Times New Roman"/>
          <w:sz w:val="24"/>
        </w:rPr>
        <w:t>), surveys, and interviews. Other sources of data, such as private se</w:t>
      </w:r>
      <w:r>
        <w:rPr>
          <w:rFonts w:ascii="Times New Roman" w:eastAsia="Times New Roman" w:hAnsi="Times New Roman" w:cs="Times New Roman"/>
          <w:sz w:val="24"/>
        </w:rPr>
        <w:t>ctor reports or proprietary databases, will not be included.</w:t>
      </w:r>
    </w:p>
    <w:p w:rsidR="00DF0840" w:rsidRDefault="00B3023B">
      <w:pPr>
        <w:keepNext/>
        <w:keepLines/>
        <w:spacing w:before="160" w:after="12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1.9 Definition of terms </w:t>
      </w:r>
    </w:p>
    <w:p w:rsidR="00DF0840" w:rsidRDefault="00B3023B">
      <w:pPr>
        <w:numPr>
          <w:ilvl w:val="0"/>
          <w:numId w:val="16"/>
        </w:numPr>
        <w:tabs>
          <w:tab w:val="left" w:pos="420"/>
        </w:tabs>
        <w:spacing w:after="0" w:line="360" w:lineRule="auto"/>
        <w:ind w:left="420" w:hanging="420"/>
        <w:jc w:val="both"/>
        <w:rPr>
          <w:rFonts w:ascii="Times New Roman" w:eastAsia="Times New Roman" w:hAnsi="Times New Roman" w:cs="Times New Roman"/>
          <w:sz w:val="24"/>
        </w:rPr>
      </w:pPr>
      <w:r>
        <w:rPr>
          <w:rFonts w:ascii="Times New Roman" w:eastAsia="Times New Roman" w:hAnsi="Times New Roman" w:cs="Times New Roman"/>
          <w:sz w:val="24"/>
        </w:rPr>
        <w:t xml:space="preserve"> Central banks employ monetary policy to manage the money supply and interest rates, pursuing key macroeconomic objectives like inflation control, price stability, and ec</w:t>
      </w:r>
      <w:r>
        <w:rPr>
          <w:rFonts w:ascii="Times New Roman" w:eastAsia="Times New Roman" w:hAnsi="Times New Roman" w:cs="Times New Roman"/>
          <w:sz w:val="24"/>
        </w:rPr>
        <w:t>onomic expansion.</w:t>
      </w:r>
    </w:p>
    <w:p w:rsidR="00DF0840" w:rsidRDefault="00B3023B">
      <w:pPr>
        <w:numPr>
          <w:ilvl w:val="0"/>
          <w:numId w:val="16"/>
        </w:numPr>
        <w:tabs>
          <w:tab w:val="left" w:pos="420"/>
        </w:tabs>
        <w:spacing w:after="0" w:line="360" w:lineRule="auto"/>
        <w:ind w:left="420" w:hanging="420"/>
        <w:jc w:val="both"/>
        <w:rPr>
          <w:rFonts w:ascii="Times New Roman" w:eastAsia="Times New Roman" w:hAnsi="Times New Roman" w:cs="Times New Roman"/>
          <w:sz w:val="24"/>
        </w:rPr>
      </w:pPr>
      <w:r>
        <w:rPr>
          <w:rFonts w:ascii="Times New Roman" w:eastAsia="Times New Roman" w:hAnsi="Times New Roman" w:cs="Times New Roman"/>
          <w:sz w:val="24"/>
        </w:rPr>
        <w:t xml:space="preserve">Financial sector stability refers to the overall wellbeing and resilience of the financial network within a country or region. A stable financial sector is one </w:t>
      </w:r>
      <w:proofErr w:type="spellStart"/>
      <w:r>
        <w:rPr>
          <w:rFonts w:ascii="Times New Roman" w:eastAsia="Times New Roman" w:hAnsi="Times New Roman" w:cs="Times New Roman"/>
          <w:sz w:val="24"/>
        </w:rPr>
        <w:t>tht</w:t>
      </w:r>
      <w:proofErr w:type="spellEnd"/>
      <w:r>
        <w:rPr>
          <w:rFonts w:ascii="Times New Roman" w:eastAsia="Times New Roman" w:hAnsi="Times New Roman" w:cs="Times New Roman"/>
          <w:sz w:val="24"/>
        </w:rPr>
        <w:t xml:space="preserve"> is able to function effectively, efficiently, and safely without experienc</w:t>
      </w:r>
      <w:r>
        <w:rPr>
          <w:rFonts w:ascii="Times New Roman" w:eastAsia="Times New Roman" w:hAnsi="Times New Roman" w:cs="Times New Roman"/>
          <w:sz w:val="24"/>
        </w:rPr>
        <w:t>ing significant disruptions or crises that could have negative repercussions for the broader economy.</w:t>
      </w: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B3023B">
      <w:pPr>
        <w:keepNext/>
        <w:keepLines/>
        <w:spacing w:before="160" w:after="12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1.9.0 Chapter Summary</w:t>
      </w:r>
    </w:p>
    <w:p w:rsidR="00DF0840" w:rsidRDefault="00DF0840">
      <w:pPr>
        <w:spacing w:after="0" w:line="360" w:lineRule="auto"/>
        <w:jc w:val="both"/>
        <w:rPr>
          <w:rFonts w:ascii="Times New Roman" w:eastAsia="Times New Roman" w:hAnsi="Times New Roman" w:cs="Times New Roman"/>
          <w:b/>
          <w:sz w:val="24"/>
        </w:rPr>
      </w:pP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This section provided a thorough overview of the research context, including the background information, problem statement, obje</w:t>
      </w:r>
      <w:r>
        <w:rPr>
          <w:rFonts w:ascii="Times New Roman" w:eastAsia="Times New Roman" w:hAnsi="Times New Roman" w:cs="Times New Roman"/>
          <w:sz w:val="24"/>
        </w:rPr>
        <w:t>ctives, hypotheses, and research questions. Additionally, it clarified the study's significance, scope, limitations, and defined key terms.</w:t>
      </w: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B3023B">
      <w:pPr>
        <w:keepNext/>
        <w:keepLines/>
        <w:spacing w:before="360"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CHAPTER II</w:t>
      </w:r>
    </w:p>
    <w:p w:rsidR="00DF0840" w:rsidRDefault="00DF0840">
      <w:pPr>
        <w:keepNext/>
        <w:keepLines/>
        <w:spacing w:before="360" w:after="120" w:line="360" w:lineRule="auto"/>
        <w:jc w:val="center"/>
        <w:rPr>
          <w:rFonts w:ascii="Times New Roman" w:eastAsia="Times New Roman" w:hAnsi="Times New Roman" w:cs="Times New Roman"/>
          <w:b/>
          <w:sz w:val="24"/>
        </w:rPr>
      </w:pPr>
    </w:p>
    <w:p w:rsidR="00DF0840" w:rsidRDefault="00B3023B">
      <w:pPr>
        <w:keepNext/>
        <w:keepLines/>
        <w:spacing w:before="360"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LITERATURE REVIEW</w:t>
      </w:r>
    </w:p>
    <w:p w:rsidR="00DF0840" w:rsidRDefault="00DF0840">
      <w:pPr>
        <w:spacing w:after="0" w:line="360" w:lineRule="auto"/>
        <w:jc w:val="center"/>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B3023B">
      <w:pPr>
        <w:keepNext/>
        <w:keepLines/>
        <w:spacing w:before="160" w:after="12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2.0 Introduction</w:t>
      </w:r>
    </w:p>
    <w:p w:rsidR="00DF0840" w:rsidRDefault="00DF0840">
      <w:pPr>
        <w:spacing w:after="0" w:line="360" w:lineRule="auto"/>
        <w:jc w:val="both"/>
        <w:rPr>
          <w:rFonts w:ascii="Times New Roman" w:eastAsia="Times New Roman" w:hAnsi="Times New Roman" w:cs="Times New Roman"/>
          <w:b/>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This chapter explores the existing empirical literature regarding the link among monetary policy and the stability of the financial sector, a topic that still generates disagreement among scholars. Prior to delving into the empirical review, the chapter pr</w:t>
      </w:r>
      <w:r>
        <w:rPr>
          <w:rFonts w:ascii="Times New Roman" w:eastAsia="Times New Roman" w:hAnsi="Times New Roman" w:cs="Times New Roman"/>
          <w:sz w:val="24"/>
        </w:rPr>
        <w:t>ovides a summary of the theoretical frameworks that form the basis of the ongoing debate regarding the influence of monetary policy on financial stability. Additionally, this chapter incorporates insights and experiences from various countries around the w</w:t>
      </w:r>
      <w:r>
        <w:rPr>
          <w:rFonts w:ascii="Times New Roman" w:eastAsia="Times New Roman" w:hAnsi="Times New Roman" w:cs="Times New Roman"/>
          <w:sz w:val="24"/>
        </w:rPr>
        <w:t>orld, as well as those from regional contexts.</w:t>
      </w:r>
    </w:p>
    <w:p w:rsidR="00DF0840" w:rsidRDefault="00DF0840">
      <w:pPr>
        <w:spacing w:after="0" w:line="360" w:lineRule="auto"/>
        <w:jc w:val="both"/>
        <w:rPr>
          <w:rFonts w:ascii="Times New Roman" w:eastAsia="Times New Roman" w:hAnsi="Times New Roman" w:cs="Times New Roman"/>
          <w:b/>
          <w:sz w:val="24"/>
        </w:rPr>
      </w:pPr>
    </w:p>
    <w:p w:rsidR="00DF0840" w:rsidRDefault="00B3023B">
      <w:pPr>
        <w:keepNext/>
        <w:keepLines/>
        <w:spacing w:before="160" w:after="12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2.1.0 Theoretical Literature Review</w:t>
      </w: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sz w:val="24"/>
        </w:rPr>
        <w:t>The 2008-09 global financial crisis prompted a significant shift in attention towards understanding how monetary policy affects financial stability, leading to a proliferat</w:t>
      </w:r>
      <w:r>
        <w:rPr>
          <w:rFonts w:ascii="Times New Roman" w:eastAsia="Times New Roman" w:hAnsi="Times New Roman" w:cs="Times New Roman"/>
          <w:sz w:val="24"/>
        </w:rPr>
        <w:t>ion of research in this area. This section aims to provide a comprehensive and critical analysis of the theoretical and empirical literature on financial stability and its interplay with monetary policy, contributing to the ongoing conversation in the fiel</w:t>
      </w:r>
      <w:r>
        <w:rPr>
          <w:rFonts w:ascii="Times New Roman" w:eastAsia="Times New Roman" w:hAnsi="Times New Roman" w:cs="Times New Roman"/>
          <w:sz w:val="24"/>
        </w:rPr>
        <w:t>d of monetary economics.</w:t>
      </w:r>
    </w:p>
    <w:p w:rsidR="00DF0840" w:rsidRDefault="00B3023B">
      <w:pPr>
        <w:keepNext/>
        <w:keepLines/>
        <w:spacing w:before="400" w:after="36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2.1.1 Transmission Mechanisms of Monetary Policy</w:t>
      </w:r>
    </w:p>
    <w:p w:rsidR="00DF0840" w:rsidRDefault="00DF0840">
      <w:pPr>
        <w:spacing w:after="0" w:line="240" w:lineRule="auto"/>
        <w:jc w:val="both"/>
        <w:rPr>
          <w:rFonts w:ascii="Calibri" w:eastAsia="Calibri" w:hAnsi="Calibri" w:cs="Calibri"/>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monetary policy transmission mechanism outlines the process by which federal bank decisions, such as adjusting interest rates or reserve requirements, have a ripple effect throu</w:t>
      </w:r>
      <w:r>
        <w:rPr>
          <w:rFonts w:ascii="Times New Roman" w:eastAsia="Times New Roman" w:hAnsi="Times New Roman" w:cs="Times New Roman"/>
          <w:sz w:val="24"/>
        </w:rPr>
        <w:t xml:space="preserve">ghout </w:t>
      </w:r>
      <w:r>
        <w:rPr>
          <w:rFonts w:ascii="Times New Roman" w:eastAsia="Times New Roman" w:hAnsi="Times New Roman" w:cs="Times New Roman"/>
          <w:sz w:val="24"/>
        </w:rPr>
        <w:lastRenderedPageBreak/>
        <w:t>the economy, influencing key variables like inflation, output, employment, and investment. In Sub-Saharan Africa, the efficacy of this transmission mechanism is shaped by various factors, including the financial system's structure, market development</w:t>
      </w:r>
      <w:r>
        <w:rPr>
          <w:rFonts w:ascii="Times New Roman" w:eastAsia="Times New Roman" w:hAnsi="Times New Roman" w:cs="Times New Roman"/>
          <w:sz w:val="24"/>
        </w:rPr>
        <w:t>, and trade openness, which collectively determine the impact of monetary policy on the regional economy. The theoretical basis of monetary policy is grounded in the transmission mechanism, which operates through two distinct channels: neoclassical and non</w:t>
      </w:r>
      <w:r>
        <w:rPr>
          <w:rFonts w:ascii="Times New Roman" w:eastAsia="Times New Roman" w:hAnsi="Times New Roman" w:cs="Times New Roman"/>
          <w:sz w:val="24"/>
        </w:rPr>
        <w:t>-neoclassical (</w:t>
      </w:r>
      <w:proofErr w:type="spellStart"/>
      <w:r>
        <w:rPr>
          <w:rFonts w:ascii="Times New Roman" w:eastAsia="Times New Roman" w:hAnsi="Times New Roman" w:cs="Times New Roman"/>
          <w:sz w:val="24"/>
        </w:rPr>
        <w:t>Boivin</w:t>
      </w:r>
      <w:proofErr w:type="spellEnd"/>
      <w:r>
        <w:rPr>
          <w:rFonts w:ascii="Times New Roman" w:eastAsia="Times New Roman" w:hAnsi="Times New Roman" w:cs="Times New Roman"/>
          <w:sz w:val="24"/>
        </w:rPr>
        <w:t xml:space="preserve"> et al., 2011). The neoclassical channel, rooted in Friedman's (1956) monetarist theory, primarily functions through the interest rate channel, whereas non-neoclassical channels, also known as credit channels, arise from credit market </w:t>
      </w:r>
      <w:r>
        <w:rPr>
          <w:rFonts w:ascii="Times New Roman" w:eastAsia="Times New Roman" w:hAnsi="Times New Roman" w:cs="Times New Roman"/>
          <w:sz w:val="24"/>
        </w:rPr>
        <w:t>frictions due to information asymmetry between borrowers and lenders (</w:t>
      </w:r>
      <w:proofErr w:type="spellStart"/>
      <w:r>
        <w:rPr>
          <w:rFonts w:ascii="Times New Roman" w:eastAsia="Times New Roman" w:hAnsi="Times New Roman" w:cs="Times New Roman"/>
          <w:sz w:val="24"/>
        </w:rPr>
        <w:t>Lacoiello</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Minettiz</w:t>
      </w:r>
      <w:proofErr w:type="spellEnd"/>
      <w:r>
        <w:rPr>
          <w:rFonts w:ascii="Times New Roman" w:eastAsia="Times New Roman" w:hAnsi="Times New Roman" w:cs="Times New Roman"/>
          <w:sz w:val="24"/>
        </w:rPr>
        <w:t xml:space="preserve">, 2008). Prior to the global financial crisis, the importance of these channels was a subject of debate. However, research by </w:t>
      </w:r>
      <w:proofErr w:type="spellStart"/>
      <w:r>
        <w:rPr>
          <w:rFonts w:ascii="Times New Roman" w:eastAsia="Times New Roman" w:hAnsi="Times New Roman" w:cs="Times New Roman"/>
          <w:sz w:val="24"/>
        </w:rPr>
        <w:t>Cecchetti</w:t>
      </w:r>
      <w:proofErr w:type="spellEnd"/>
      <w:r>
        <w:rPr>
          <w:rFonts w:ascii="Times New Roman" w:eastAsia="Times New Roman" w:hAnsi="Times New Roman" w:cs="Times New Roman"/>
          <w:sz w:val="24"/>
        </w:rPr>
        <w:t xml:space="preserve"> et al. (2009) and </w:t>
      </w:r>
      <w:proofErr w:type="spellStart"/>
      <w:r>
        <w:rPr>
          <w:rFonts w:ascii="Times New Roman" w:eastAsia="Times New Roman" w:hAnsi="Times New Roman" w:cs="Times New Roman"/>
          <w:sz w:val="24"/>
        </w:rPr>
        <w:t>Mishkin</w:t>
      </w:r>
      <w:proofErr w:type="spellEnd"/>
      <w:r>
        <w:rPr>
          <w:rFonts w:ascii="Times New Roman" w:eastAsia="Times New Roman" w:hAnsi="Times New Roman" w:cs="Times New Roman"/>
          <w:sz w:val="24"/>
        </w:rPr>
        <w:t xml:space="preserve"> (2</w:t>
      </w:r>
      <w:r>
        <w:rPr>
          <w:rFonts w:ascii="Times New Roman" w:eastAsia="Times New Roman" w:hAnsi="Times New Roman" w:cs="Times New Roman"/>
          <w:sz w:val="24"/>
        </w:rPr>
        <w:t>009) demonstrated that financial frictions significantly impact monetary policy transmission, distorting the real economy. During the crisis, the effectiveness of the interest rate channel was diminished (</w:t>
      </w:r>
      <w:proofErr w:type="spellStart"/>
      <w:r>
        <w:rPr>
          <w:rFonts w:ascii="Times New Roman" w:eastAsia="Times New Roman" w:hAnsi="Times New Roman" w:cs="Times New Roman"/>
          <w:sz w:val="24"/>
        </w:rPr>
        <w:t>Gambacorta</w:t>
      </w:r>
      <w:proofErr w:type="spellEnd"/>
      <w:r>
        <w:rPr>
          <w:rFonts w:ascii="Times New Roman" w:eastAsia="Times New Roman" w:hAnsi="Times New Roman" w:cs="Times New Roman"/>
          <w:sz w:val="24"/>
        </w:rPr>
        <w:t xml:space="preserve"> et al., 2015), suggesting a potential sh</w:t>
      </w:r>
      <w:r>
        <w:rPr>
          <w:rFonts w:ascii="Times New Roman" w:eastAsia="Times New Roman" w:hAnsi="Times New Roman" w:cs="Times New Roman"/>
          <w:sz w:val="24"/>
        </w:rPr>
        <w:t>ift in monetary policy dynamics. The transmission mechanism illuminates the complex process by which changes in monetary policy stance influence the real economy, aiming to achieve economic growth, low inflation, and stability (Angelis et al., 2005).</w:t>
      </w:r>
    </w:p>
    <w:p w:rsidR="00DF0840" w:rsidRDefault="00DF0840">
      <w:pPr>
        <w:spacing w:after="0" w:line="240" w:lineRule="auto"/>
        <w:jc w:val="both"/>
        <w:rPr>
          <w:rFonts w:ascii="Calibri" w:eastAsia="Calibri" w:hAnsi="Calibri" w:cs="Calibri"/>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The </w:t>
      </w:r>
      <w:r>
        <w:rPr>
          <w:rFonts w:ascii="Times New Roman" w:eastAsia="Times New Roman" w:hAnsi="Times New Roman" w:cs="Times New Roman"/>
          <w:sz w:val="24"/>
        </w:rPr>
        <w:t>interest rate has a profound impact on the decisions made by investors, organization, financial institutions, and households, ultimately influencing economic activity and price levels. For example, when central banks implement a tight monetary policy by ra</w:t>
      </w:r>
      <w:r>
        <w:rPr>
          <w:rFonts w:ascii="Times New Roman" w:eastAsia="Times New Roman" w:hAnsi="Times New Roman" w:cs="Times New Roman"/>
          <w:sz w:val="24"/>
        </w:rPr>
        <w:t>ising the repo rate, it has a direct impact on the money market, leading to higher bank interest rates (</w:t>
      </w:r>
      <w:proofErr w:type="spellStart"/>
      <w:r>
        <w:rPr>
          <w:rFonts w:ascii="Times New Roman" w:eastAsia="Times New Roman" w:hAnsi="Times New Roman" w:cs="Times New Roman"/>
          <w:sz w:val="24"/>
        </w:rPr>
        <w:t>Arestis</w:t>
      </w:r>
      <w:proofErr w:type="spellEnd"/>
      <w:r>
        <w:rPr>
          <w:rFonts w:ascii="Times New Roman" w:eastAsia="Times New Roman" w:hAnsi="Times New Roman" w:cs="Times New Roman"/>
          <w:sz w:val="24"/>
        </w:rPr>
        <w:t xml:space="preserve"> &amp; Sawyer, 2004). This increases the price of capital, reduces investment expenditure, and subsequently leads to a decline in aggregate output an</w:t>
      </w:r>
      <w:r>
        <w:rPr>
          <w:rFonts w:ascii="Times New Roman" w:eastAsia="Times New Roman" w:hAnsi="Times New Roman" w:cs="Times New Roman"/>
          <w:sz w:val="24"/>
        </w:rPr>
        <w:t xml:space="preserve">d demand. The transmission process can be broken down into five channels: interest rate, exchange rate, money effect, asset price, and credit channels. The concept of inflation targeting emerged from the debates on rule-based versus discretionary monetary </w:t>
      </w:r>
      <w:r>
        <w:rPr>
          <w:rFonts w:ascii="Times New Roman" w:eastAsia="Times New Roman" w:hAnsi="Times New Roman" w:cs="Times New Roman"/>
          <w:sz w:val="24"/>
        </w:rPr>
        <w:t xml:space="preserve">policy in the 1970s and 1980s, with contributions from </w:t>
      </w:r>
      <w:proofErr w:type="spellStart"/>
      <w:r>
        <w:rPr>
          <w:rFonts w:ascii="Times New Roman" w:eastAsia="Times New Roman" w:hAnsi="Times New Roman" w:cs="Times New Roman"/>
          <w:sz w:val="24"/>
        </w:rPr>
        <w:t>Kydland</w:t>
      </w:r>
      <w:proofErr w:type="spellEnd"/>
      <w:r>
        <w:rPr>
          <w:rFonts w:ascii="Times New Roman" w:eastAsia="Times New Roman" w:hAnsi="Times New Roman" w:cs="Times New Roman"/>
          <w:sz w:val="24"/>
        </w:rPr>
        <w:t xml:space="preserve"> and Prescott (1977), </w:t>
      </w:r>
      <w:proofErr w:type="spellStart"/>
      <w:r>
        <w:rPr>
          <w:rFonts w:ascii="Times New Roman" w:eastAsia="Times New Roman" w:hAnsi="Times New Roman" w:cs="Times New Roman"/>
          <w:sz w:val="24"/>
        </w:rPr>
        <w:t>Barro</w:t>
      </w:r>
      <w:proofErr w:type="spellEnd"/>
      <w:r>
        <w:rPr>
          <w:rFonts w:ascii="Times New Roman" w:eastAsia="Times New Roman" w:hAnsi="Times New Roman" w:cs="Times New Roman"/>
          <w:sz w:val="24"/>
        </w:rPr>
        <w:t xml:space="preserve"> and Gordon (1983), and Sargent and Wallace (1975). Taylor (1993) further supported the new monetary policy consensus, which integrates microeconomic fundamentals into</w:t>
      </w:r>
      <w:r>
        <w:rPr>
          <w:rFonts w:ascii="Times New Roman" w:eastAsia="Times New Roman" w:hAnsi="Times New Roman" w:cs="Times New Roman"/>
          <w:sz w:val="24"/>
        </w:rPr>
        <w:t xml:space="preserve"> a macroeconomic general equilibrium model, incorporating rational expectations and hypotheses on adjustment process rigidities. This consensus reconciles neoclassical and new Keynesian </w:t>
      </w:r>
      <w:r>
        <w:rPr>
          <w:rFonts w:ascii="Times New Roman" w:eastAsia="Times New Roman" w:hAnsi="Times New Roman" w:cs="Times New Roman"/>
          <w:sz w:val="24"/>
        </w:rPr>
        <w:lastRenderedPageBreak/>
        <w:t>theories. Woodford (2011) emphasized that while monetary policy is not</w:t>
      </w:r>
      <w:r>
        <w:rPr>
          <w:rFonts w:ascii="Times New Roman" w:eastAsia="Times New Roman" w:hAnsi="Times New Roman" w:cs="Times New Roman"/>
          <w:sz w:val="24"/>
        </w:rPr>
        <w:t xml:space="preserve"> irrelevant in explaining fluctuations, its primary sources lie in real factors. Therefore, monetary policy plays a crucial role in controlling inflation, which has its roots in monetary factors. In line with Friedman's monetarist viewpoint, monetary polic</w:t>
      </w:r>
      <w:r>
        <w:rPr>
          <w:rFonts w:ascii="Times New Roman" w:eastAsia="Times New Roman" w:hAnsi="Times New Roman" w:cs="Times New Roman"/>
          <w:sz w:val="24"/>
        </w:rPr>
        <w:t xml:space="preserve">y should focus on managing the price level, as its impact on the real economy is temporary. Proponents of inflation targeting have revived the quantity theory of money to advocate for monetary authorities' control over inflation and support the hypothesis </w:t>
      </w:r>
      <w:r>
        <w:rPr>
          <w:rFonts w:ascii="Times New Roman" w:eastAsia="Times New Roman" w:hAnsi="Times New Roman" w:cs="Times New Roman"/>
          <w:sz w:val="24"/>
        </w:rPr>
        <w:t>of monetary policy neutrality. This leads to more appropriate prescriptions, such as using government commitments to monetary policy rules or practices (</w:t>
      </w:r>
      <w:proofErr w:type="spellStart"/>
      <w:r>
        <w:rPr>
          <w:rFonts w:ascii="Times New Roman" w:eastAsia="Times New Roman" w:hAnsi="Times New Roman" w:cs="Times New Roman"/>
          <w:sz w:val="24"/>
        </w:rPr>
        <w:t>Cukierman</w:t>
      </w:r>
      <w:proofErr w:type="spellEnd"/>
      <w:r>
        <w:rPr>
          <w:rFonts w:ascii="Times New Roman" w:eastAsia="Times New Roman" w:hAnsi="Times New Roman" w:cs="Times New Roman"/>
          <w:sz w:val="24"/>
        </w:rPr>
        <w:t xml:space="preserve">, 1994; Walsh, 1995; </w:t>
      </w:r>
      <w:proofErr w:type="spellStart"/>
      <w:r>
        <w:rPr>
          <w:rFonts w:ascii="Times New Roman" w:eastAsia="Times New Roman" w:hAnsi="Times New Roman" w:cs="Times New Roman"/>
          <w:sz w:val="24"/>
        </w:rPr>
        <w:t>Mishkin</w:t>
      </w:r>
      <w:proofErr w:type="spellEnd"/>
      <w:r>
        <w:rPr>
          <w:rFonts w:ascii="Times New Roman" w:eastAsia="Times New Roman" w:hAnsi="Times New Roman" w:cs="Times New Roman"/>
          <w:sz w:val="24"/>
        </w:rPr>
        <w:t xml:space="preserve">, 2000), avoiding the inherent bias of inflation highlighted by </w:t>
      </w:r>
      <w:proofErr w:type="spellStart"/>
      <w:r>
        <w:rPr>
          <w:rFonts w:ascii="Times New Roman" w:eastAsia="Times New Roman" w:hAnsi="Times New Roman" w:cs="Times New Roman"/>
          <w:sz w:val="24"/>
        </w:rPr>
        <w:t>Ky</w:t>
      </w:r>
      <w:r>
        <w:rPr>
          <w:rFonts w:ascii="Times New Roman" w:eastAsia="Times New Roman" w:hAnsi="Times New Roman" w:cs="Times New Roman"/>
          <w:sz w:val="24"/>
        </w:rPr>
        <w:t>dland</w:t>
      </w:r>
      <w:proofErr w:type="spellEnd"/>
      <w:r>
        <w:rPr>
          <w:rFonts w:ascii="Times New Roman" w:eastAsia="Times New Roman" w:hAnsi="Times New Roman" w:cs="Times New Roman"/>
          <w:sz w:val="24"/>
        </w:rPr>
        <w:t xml:space="preserve"> and Prescott (1977).</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Inflation targeting has its roots in the Quantity Theory of Money, but it differs from traditional monetarist theory in its approach. Instead of directly controlling monetary aggregates, inflation targeting operates by manipulat</w:t>
      </w:r>
      <w:r>
        <w:rPr>
          <w:rFonts w:ascii="Times New Roman" w:eastAsia="Times New Roman" w:hAnsi="Times New Roman" w:cs="Times New Roman"/>
          <w:sz w:val="24"/>
        </w:rPr>
        <w:t>ing interest rates. This shift in approach was prompted by the realization that the velocity of money circulation is not constant, as previously assumed. This instability makes it challenging for central banks to control inflation through monetary aggregat</w:t>
      </w:r>
      <w:r>
        <w:rPr>
          <w:rFonts w:ascii="Times New Roman" w:eastAsia="Times New Roman" w:hAnsi="Times New Roman" w:cs="Times New Roman"/>
          <w:sz w:val="24"/>
        </w:rPr>
        <w:t>es. As a result, the monetarist approach, which advocated for price control through monetary aggregate interventions, lost favor. A modern version of monetary policy emerged, focusing on interest rate interventions to manage inflation. While this transitio</w:t>
      </w:r>
      <w:r>
        <w:rPr>
          <w:rFonts w:ascii="Times New Roman" w:eastAsia="Times New Roman" w:hAnsi="Times New Roman" w:cs="Times New Roman"/>
          <w:sz w:val="24"/>
        </w:rPr>
        <w:t xml:space="preserve">n was seen as a shift towards Keynesian economics, the resulting framework is not purely Keynesian. According to </w:t>
      </w:r>
      <w:proofErr w:type="spellStart"/>
      <w:r>
        <w:rPr>
          <w:rFonts w:ascii="Times New Roman" w:eastAsia="Times New Roman" w:hAnsi="Times New Roman" w:cs="Times New Roman"/>
          <w:sz w:val="24"/>
        </w:rPr>
        <w:t>Arestis</w:t>
      </w:r>
      <w:proofErr w:type="spellEnd"/>
      <w:r>
        <w:rPr>
          <w:rFonts w:ascii="Times New Roman" w:eastAsia="Times New Roman" w:hAnsi="Times New Roman" w:cs="Times New Roman"/>
          <w:sz w:val="24"/>
        </w:rPr>
        <w:t xml:space="preserve"> and Sawyer (2004), monetary policy can only influence inflation in the long run, with no impact on economic activity, output, employmen</w:t>
      </w:r>
      <w:r>
        <w:rPr>
          <w:rFonts w:ascii="Times New Roman" w:eastAsia="Times New Roman" w:hAnsi="Times New Roman" w:cs="Times New Roman"/>
          <w:sz w:val="24"/>
        </w:rPr>
        <w:t>t, or similar variables. Therefore, the inflation targeting regime is built on the new macroeconomic consensus. Taylor (1993) proposed an interest rate rule as a framework for monetary policy, arguing that policies guided by interest rate rules that respon</w:t>
      </w:r>
      <w:r>
        <w:rPr>
          <w:rFonts w:ascii="Times New Roman" w:eastAsia="Times New Roman" w:hAnsi="Times New Roman" w:cs="Times New Roman"/>
          <w:sz w:val="24"/>
        </w:rPr>
        <w:t>d to inflation and economic activity are more stable and effective. He contended that well-designed rules allow for interest rate adjustments in response to price and activity fluctuations without undermining other economic agents' expectations.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keepNext/>
        <w:keepLines/>
        <w:spacing w:before="400" w:after="36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2.1</w:t>
      </w:r>
      <w:r>
        <w:rPr>
          <w:rFonts w:ascii="Times New Roman" w:eastAsia="Times New Roman" w:hAnsi="Times New Roman" w:cs="Times New Roman"/>
          <w:b/>
          <w:sz w:val="24"/>
        </w:rPr>
        <w:t>.2 The Quantity Theory of Money</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According to Fisher (1911), the overall price level in an economy is shaped by the dynamic interaction between the amount of money available (supply) and the desire for money (demand). When the demand for money remains stea</w:t>
      </w:r>
      <w:r>
        <w:rPr>
          <w:rFonts w:ascii="Times New Roman" w:eastAsia="Times New Roman" w:hAnsi="Times New Roman" w:cs="Times New Roman"/>
          <w:sz w:val="24"/>
        </w:rPr>
        <w:t>dy, changes in the money supply lead to corresponding adjustments in the price level, allowing central banks to manage inflation by controlling the money supply. The money supply is calculated by multiplying the existing amount of money (M) by the velocity</w:t>
      </w:r>
      <w:r>
        <w:rPr>
          <w:rFonts w:ascii="Times New Roman" w:eastAsia="Times New Roman" w:hAnsi="Times New Roman" w:cs="Times New Roman"/>
          <w:sz w:val="24"/>
        </w:rPr>
        <w:t xml:space="preserve"> of money (V), which represents how frequently money changes hands. It's crucial to recognize that the demand for money is driven by both the need to hold money (hoarding) and the need to use money for transactions, as money is the exclusive medium of exch</w:t>
      </w:r>
      <w:r>
        <w:rPr>
          <w:rFonts w:ascii="Times New Roman" w:eastAsia="Times New Roman" w:hAnsi="Times New Roman" w:cs="Times New Roman"/>
          <w:sz w:val="24"/>
        </w:rPr>
        <w:t>ange. Consequently, the demand for money equals the total value of goods and services exchanged within the economy.</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Fisher's theory assumes that the velocity of money remains steady, unaffected by changes in the money supply. Instead, external factors such</w:t>
      </w:r>
      <w:r>
        <w:rPr>
          <w:rFonts w:ascii="Times New Roman" w:eastAsia="Times New Roman" w:hAnsi="Times New Roman" w:cs="Times New Roman"/>
          <w:sz w:val="24"/>
        </w:rPr>
        <w:t xml:space="preserve"> as population growth and trade deficits impact velocity. In this framework, the price level is seen as a passive variable, influenced by external factors beyond its control. The Quantity Theory of Money (QTM) is represented by the equation MV = PY, which </w:t>
      </w:r>
      <w:r>
        <w:rPr>
          <w:rFonts w:ascii="Times New Roman" w:eastAsia="Times New Roman" w:hAnsi="Times New Roman" w:cs="Times New Roman"/>
          <w:sz w:val="24"/>
        </w:rPr>
        <w:t>was later expanded to include bank deposits as MV + MV' = PY. In this equation, M and M' represent the money supply and bank deposits, V and V' represent the velocity of money circulation, P represents the price level, and Y represents the final output. Th</w:t>
      </w:r>
      <w:r>
        <w:rPr>
          <w:rFonts w:ascii="Times New Roman" w:eastAsia="Times New Roman" w:hAnsi="Times New Roman" w:cs="Times New Roman"/>
          <w:sz w:val="24"/>
        </w:rPr>
        <w:t xml:space="preserve">is equation demonstrates that total expenditures (MV) equal total receipts from final goods and services (PY), illustrating the relationship between money supply, velocity, and price level. According to this model, an increase in the money supply leads to </w:t>
      </w:r>
      <w:r>
        <w:rPr>
          <w:rFonts w:ascii="Times New Roman" w:eastAsia="Times New Roman" w:hAnsi="Times New Roman" w:cs="Times New Roman"/>
          <w:sz w:val="24"/>
        </w:rPr>
        <w:t>a decrease in its purchasing power, resulting in price inflation, while a scarcity of money increases its purchasing power, causing prices to fall.</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Quantity Theory of Money (QTM) establishes a crucial link between monetary policy and financial stabilit</w:t>
      </w:r>
      <w:r>
        <w:rPr>
          <w:rFonts w:ascii="Times New Roman" w:eastAsia="Times New Roman" w:hAnsi="Times New Roman" w:cs="Times New Roman"/>
          <w:sz w:val="24"/>
        </w:rPr>
        <w:t>y, positing that changes in the money supply have a direct impact on inflation. At its core, the QTM proposes a direct relationship between the rate of money growth and the inflation rate, suggesting that changes in one will have a proportional impact on t</w:t>
      </w:r>
      <w:r>
        <w:rPr>
          <w:rFonts w:ascii="Times New Roman" w:eastAsia="Times New Roman" w:hAnsi="Times New Roman" w:cs="Times New Roman"/>
          <w:sz w:val="24"/>
        </w:rPr>
        <w:t xml:space="preserve">he other. This idea led Milton Friedman to famously assert in 1970 that inflation is essentially a monetary phenomenon, driven by changes in the money supply. As Amin (2011) observes, inflation has </w:t>
      </w:r>
      <w:r>
        <w:rPr>
          <w:rFonts w:ascii="Times New Roman" w:eastAsia="Times New Roman" w:hAnsi="Times New Roman" w:cs="Times New Roman"/>
          <w:sz w:val="24"/>
        </w:rPr>
        <w:lastRenderedPageBreak/>
        <w:t>significant and far-reaching negative consequences, not on</w:t>
      </w:r>
      <w:r>
        <w:rPr>
          <w:rFonts w:ascii="Times New Roman" w:eastAsia="Times New Roman" w:hAnsi="Times New Roman" w:cs="Times New Roman"/>
          <w:sz w:val="24"/>
        </w:rPr>
        <w:t>ly for the overall performance of the economy but also for the stability and performance of the financial sector, highlighting the importance of managing money growth to maintain economic and financial stability.</w:t>
      </w: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B3023B">
      <w:pPr>
        <w:keepNext/>
        <w:keepLines/>
        <w:spacing w:before="400" w:after="36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2.1.3 The Currency Substitution theory and Gresham‘s Law</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In 1946, the League of Nations observed that many European countries experienced hyperinflation after World War 1. This resulted in an unstable domestic currency, which created difficulties in produc</w:t>
      </w:r>
      <w:r>
        <w:rPr>
          <w:rFonts w:ascii="Times New Roman" w:eastAsia="Times New Roman" w:hAnsi="Times New Roman" w:cs="Times New Roman"/>
          <w:sz w:val="24"/>
        </w:rPr>
        <w:t>tion and trade. Consequently, individuals increasingly preferred foreign currencies over the domestic currency, not only as a safe-haven asset to store value but also as a reliable medium of exchange for everyday transactions within the country. The theory</w:t>
      </w:r>
      <w:r>
        <w:rPr>
          <w:rFonts w:ascii="Times New Roman" w:eastAsia="Times New Roman" w:hAnsi="Times New Roman" w:cs="Times New Roman"/>
          <w:sz w:val="24"/>
        </w:rPr>
        <w:t xml:space="preserve"> of currency substitution explains how residents and non-residents use both domestic and foreign currencies. Gresham's law states that when different currencies compete as mediums of exchange, the inferior currency tends to drive out the superior currency.</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During this period, the monetary policy of these countries operated within a multiple currency system, which is synonymous with the substitution theorem. The main objective of monetary policy was to maintain a stable financial sector, and this was done t</w:t>
      </w:r>
      <w:r>
        <w:rPr>
          <w:rFonts w:ascii="Times New Roman" w:eastAsia="Times New Roman" w:hAnsi="Times New Roman" w:cs="Times New Roman"/>
          <w:sz w:val="24"/>
        </w:rPr>
        <w:t xml:space="preserve">hrough various tools such as controlling the money supply, interest rates, and reserve requirements. However, according to </w:t>
      </w:r>
      <w:proofErr w:type="spellStart"/>
      <w:r>
        <w:rPr>
          <w:rFonts w:ascii="Times New Roman" w:eastAsia="Times New Roman" w:hAnsi="Times New Roman" w:cs="Times New Roman"/>
          <w:sz w:val="24"/>
        </w:rPr>
        <w:t>Giovannini</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Turtlboom</w:t>
      </w:r>
      <w:proofErr w:type="spellEnd"/>
      <w:r>
        <w:rPr>
          <w:rFonts w:ascii="Times New Roman" w:eastAsia="Times New Roman" w:hAnsi="Times New Roman" w:cs="Times New Roman"/>
          <w:sz w:val="24"/>
        </w:rPr>
        <w:t xml:space="preserve"> (1992), currency substitution leads to a loss of monetary independence. This means that the monetary authori</w:t>
      </w:r>
      <w:r>
        <w:rPr>
          <w:rFonts w:ascii="Times New Roman" w:eastAsia="Times New Roman" w:hAnsi="Times New Roman" w:cs="Times New Roman"/>
          <w:sz w:val="24"/>
        </w:rPr>
        <w:t>ty can no longer rely on seignior age (the profit made from issuing currency), and price stability can only be achieved through fiscal adjustments and a sound banking system.</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In this situation, the economy becomes heavily reliant on the export sector's per</w:t>
      </w:r>
      <w:r>
        <w:rPr>
          <w:rFonts w:ascii="Times New Roman" w:eastAsia="Times New Roman" w:hAnsi="Times New Roman" w:cs="Times New Roman"/>
          <w:sz w:val="24"/>
        </w:rPr>
        <w:t>formance, international capital inflows, and external funding from donors and other countries. This dependence limits the effectiveness of monetary policy in stabilizing the financial sector. Moreover, the loss of seignior age (the ability to generate reve</w:t>
      </w:r>
      <w:r>
        <w:rPr>
          <w:rFonts w:ascii="Times New Roman" w:eastAsia="Times New Roman" w:hAnsi="Times New Roman" w:cs="Times New Roman"/>
          <w:sz w:val="24"/>
        </w:rPr>
        <w:t xml:space="preserve">nue from issuing currency) deprives the central bank of its lender-of-last-resort capability, preventing it from providing </w:t>
      </w:r>
      <w:r>
        <w:rPr>
          <w:rFonts w:ascii="Times New Roman" w:eastAsia="Times New Roman" w:hAnsi="Times New Roman" w:cs="Times New Roman"/>
          <w:sz w:val="24"/>
        </w:rPr>
        <w:lastRenderedPageBreak/>
        <w:t xml:space="preserve">liquidity by selling government bonds or other assets. Additionally, currency substitution erodes the savings of domestic savers who </w:t>
      </w:r>
      <w:r>
        <w:rPr>
          <w:rFonts w:ascii="Times New Roman" w:eastAsia="Times New Roman" w:hAnsi="Times New Roman" w:cs="Times New Roman"/>
          <w:sz w:val="24"/>
        </w:rPr>
        <w:t>have been saving in the local currency. Moreover, it implies a loss of exchange rate flexibility.</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Currency substitution occurs when a domestic currency, often plagued by high inflation, is replaced by foreign currencies as a medium of exchange in domestic</w:t>
      </w:r>
      <w:r>
        <w:rPr>
          <w:rFonts w:ascii="Times New Roman" w:eastAsia="Times New Roman" w:hAnsi="Times New Roman" w:cs="Times New Roman"/>
          <w:sz w:val="24"/>
        </w:rPr>
        <w:t xml:space="preserve"> transactions. According to </w:t>
      </w:r>
      <w:proofErr w:type="spellStart"/>
      <w:r>
        <w:rPr>
          <w:rFonts w:ascii="Times New Roman" w:eastAsia="Times New Roman" w:hAnsi="Times New Roman" w:cs="Times New Roman"/>
          <w:sz w:val="24"/>
        </w:rPr>
        <w:t>Calvo</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Vegh</w:t>
      </w:r>
      <w:proofErr w:type="spellEnd"/>
      <w:r>
        <w:rPr>
          <w:rFonts w:ascii="Times New Roman" w:eastAsia="Times New Roman" w:hAnsi="Times New Roman" w:cs="Times New Roman"/>
          <w:sz w:val="24"/>
        </w:rPr>
        <w:t xml:space="preserve"> (1992), currency substitution is defined as the use of multiple currencies for transactions within a single economy. McKinnon (1982) differentiates between two types of currency substitution: direct and indirect. </w:t>
      </w:r>
      <w:r>
        <w:rPr>
          <w:rFonts w:ascii="Times New Roman" w:eastAsia="Times New Roman" w:hAnsi="Times New Roman" w:cs="Times New Roman"/>
          <w:sz w:val="24"/>
        </w:rPr>
        <w:t>Direct substitution involves multiple currencies competing as mediums of exchange in everyday transactions, while indirect substitution refers to investors switching between non-monetary financial assets, such as stocks and bonds, in response to changes in</w:t>
      </w:r>
      <w:r>
        <w:rPr>
          <w:rFonts w:ascii="Times New Roman" w:eastAsia="Times New Roman" w:hAnsi="Times New Roman" w:cs="Times New Roman"/>
          <w:sz w:val="24"/>
        </w:rPr>
        <w:t xml:space="preserve"> currency values. </w:t>
      </w:r>
      <w:proofErr w:type="spellStart"/>
      <w:r>
        <w:rPr>
          <w:rFonts w:ascii="Times New Roman" w:eastAsia="Times New Roman" w:hAnsi="Times New Roman" w:cs="Times New Roman"/>
          <w:sz w:val="24"/>
        </w:rPr>
        <w:t>Adeniji</w:t>
      </w:r>
      <w:proofErr w:type="spellEnd"/>
      <w:r>
        <w:rPr>
          <w:rFonts w:ascii="Times New Roman" w:eastAsia="Times New Roman" w:hAnsi="Times New Roman" w:cs="Times New Roman"/>
          <w:sz w:val="24"/>
        </w:rPr>
        <w:t xml:space="preserve"> (2013) broadens the definition of currency substitution to include various possibilities, such as foreign currency, domestic financial system deposits, circulating foreign currency notes within the domestic market, and deposits he</w:t>
      </w:r>
      <w:r>
        <w:rPr>
          <w:rFonts w:ascii="Times New Roman" w:eastAsia="Times New Roman" w:hAnsi="Times New Roman" w:cs="Times New Roman"/>
          <w:sz w:val="24"/>
        </w:rPr>
        <w:t>ld by residents abroad. Consequently, it becomes common for a domestic currency with high inflation rates to be replaced by foreign currencies, such as the US dollar, which is known for maintaining its purchasing power over time.</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To gain a deeper under</w:t>
      </w:r>
      <w:r>
        <w:rPr>
          <w:rFonts w:ascii="Times New Roman" w:eastAsia="Times New Roman" w:hAnsi="Times New Roman" w:cs="Times New Roman"/>
          <w:sz w:val="24"/>
        </w:rPr>
        <w:t xml:space="preserve">standing of the significance of currency substitution policies on the stability of the financial domain, it is important to revisit Gresham's law. Gresham's law states that when multiple currencies are in circulation as mediums of exchange within the same </w:t>
      </w:r>
      <w:r>
        <w:rPr>
          <w:rFonts w:ascii="Times New Roman" w:eastAsia="Times New Roman" w:hAnsi="Times New Roman" w:cs="Times New Roman"/>
          <w:sz w:val="24"/>
        </w:rPr>
        <w:t>jurisdiction, the inferior currency tends to displace the superior currency. However, in the case of Sub-Saharan Africa, let's take a look at Zimbabwe's multicurrency regime, which had a flexible exchange rate unlike other countries such as Panama with fix</w:t>
      </w:r>
      <w:r>
        <w:rPr>
          <w:rFonts w:ascii="Times New Roman" w:eastAsia="Times New Roman" w:hAnsi="Times New Roman" w:cs="Times New Roman"/>
          <w:sz w:val="24"/>
        </w:rPr>
        <w:t>ed exchange rates. A slight adjustment to Gresham's law is necessary.</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According to </w:t>
      </w:r>
      <w:proofErr w:type="spellStart"/>
      <w:r>
        <w:rPr>
          <w:rFonts w:ascii="Times New Roman" w:eastAsia="Times New Roman" w:hAnsi="Times New Roman" w:cs="Times New Roman"/>
          <w:sz w:val="24"/>
        </w:rPr>
        <w:t>Feehan</w:t>
      </w:r>
      <w:proofErr w:type="spellEnd"/>
      <w:r>
        <w:rPr>
          <w:rFonts w:ascii="Times New Roman" w:eastAsia="Times New Roman" w:hAnsi="Times New Roman" w:cs="Times New Roman"/>
          <w:sz w:val="24"/>
        </w:rPr>
        <w:t>-Fitzgerald (2015), the adjusted law suggests that a currency losing its value rapidly would be used more frequently as a medium of exchange. This means that a curren</w:t>
      </w:r>
      <w:r>
        <w:rPr>
          <w:rFonts w:ascii="Times New Roman" w:eastAsia="Times New Roman" w:hAnsi="Times New Roman" w:cs="Times New Roman"/>
          <w:sz w:val="24"/>
        </w:rPr>
        <w:t>cy experiencing high inflation would be preferred for day-to-day transactions, while a stable currency would be chosen as a store of value and wealth. In Zimbabwe, during the multicurrency regime, there was a shortage of coins, which led to a preference fo</w:t>
      </w:r>
      <w:r>
        <w:rPr>
          <w:rFonts w:ascii="Times New Roman" w:eastAsia="Times New Roman" w:hAnsi="Times New Roman" w:cs="Times New Roman"/>
          <w:sz w:val="24"/>
        </w:rPr>
        <w:t xml:space="preserve">r inferior </w:t>
      </w:r>
      <w:r>
        <w:rPr>
          <w:rFonts w:ascii="Times New Roman" w:eastAsia="Times New Roman" w:hAnsi="Times New Roman" w:cs="Times New Roman"/>
          <w:sz w:val="24"/>
        </w:rPr>
        <w:lastRenderedPageBreak/>
        <w:t xml:space="preserve">currencies like the South African rand and the introduction of bond coins to address the problem. As a result, the widespread use of the rand, bond coins, and notes led individuals to hold onto US dollars, gradually driving the US dollar out of </w:t>
      </w:r>
      <w:r>
        <w:rPr>
          <w:rFonts w:ascii="Times New Roman" w:eastAsia="Times New Roman" w:hAnsi="Times New Roman" w:cs="Times New Roman"/>
          <w:sz w:val="24"/>
        </w:rPr>
        <w:t>the market. This situation created significant liquidity challenges, ultimately resulting in a liquidity crunch and instability within the financial sector.</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w:t>
      </w: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B3023B">
      <w:pPr>
        <w:keepNext/>
        <w:keepLines/>
        <w:spacing w:before="400" w:after="36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2.1.4 Modern Money Theory (MMT)</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concept behind Modern Monetary Theory (MMT) is that countri</w:t>
      </w:r>
      <w:r>
        <w:rPr>
          <w:rFonts w:ascii="Times New Roman" w:eastAsia="Times New Roman" w:hAnsi="Times New Roman" w:cs="Times New Roman"/>
          <w:sz w:val="24"/>
        </w:rPr>
        <w:t xml:space="preserve">es with their own currency are not heavily constrained by budget limitations because the regime can always raise the money supply to cover its higher spending. This theory was initially proposed by American economist Warren </w:t>
      </w:r>
      <w:proofErr w:type="spellStart"/>
      <w:r>
        <w:rPr>
          <w:rFonts w:ascii="Times New Roman" w:eastAsia="Times New Roman" w:hAnsi="Times New Roman" w:cs="Times New Roman"/>
          <w:sz w:val="24"/>
        </w:rPr>
        <w:t>Mosler</w:t>
      </w:r>
      <w:proofErr w:type="spellEnd"/>
      <w:r>
        <w:rPr>
          <w:rFonts w:ascii="Times New Roman" w:eastAsia="Times New Roman" w:hAnsi="Times New Roman" w:cs="Times New Roman"/>
          <w:sz w:val="24"/>
        </w:rPr>
        <w:t xml:space="preserve"> in the 1970s. The central</w:t>
      </w:r>
      <w:r>
        <w:rPr>
          <w:rFonts w:ascii="Times New Roman" w:eastAsia="Times New Roman" w:hAnsi="Times New Roman" w:cs="Times New Roman"/>
          <w:sz w:val="24"/>
        </w:rPr>
        <w:t xml:space="preserve"> principle of MMT is that the government can utilize expansionary monetary policy, specifically through money creation, to finance its fiscal deficits. Consequently, MMT suggests that governments with monetary sovereignty possess a flexible policy that is </w:t>
      </w:r>
      <w:r>
        <w:rPr>
          <w:rFonts w:ascii="Times New Roman" w:eastAsia="Times New Roman" w:hAnsi="Times New Roman" w:cs="Times New Roman"/>
          <w:sz w:val="24"/>
        </w:rPr>
        <w:t>not burdened by strict financial constraints. MMT also provides policy insights regarding price stability, financial sector stability, and achieving full employment. Therefore, while MMT acknowledges the role of a central bank, it sees it not as a means to</w:t>
      </w:r>
      <w:r>
        <w:rPr>
          <w:rFonts w:ascii="Times New Roman" w:eastAsia="Times New Roman" w:hAnsi="Times New Roman" w:cs="Times New Roman"/>
          <w:sz w:val="24"/>
        </w:rPr>
        <w:t xml:space="preserve"> fine-tune the economy but rather as a promoter of financial stability. This is accomplished through interest rate manipulation and money creation, which MMT refers to as monetary financing.</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MMT has been experimented with in various emerging countries, s</w:t>
      </w:r>
      <w:r>
        <w:rPr>
          <w:rFonts w:ascii="Times New Roman" w:eastAsia="Times New Roman" w:hAnsi="Times New Roman" w:cs="Times New Roman"/>
          <w:sz w:val="24"/>
        </w:rPr>
        <w:t>uch as Turkey, Israel, and several Latin American nations. In Latin America, major central bank-financed fiscal expansions were implemented as part of these MMT experiments. Unfortunately, as Huber (2014) points out, most of these experiments ended poorly,</w:t>
      </w:r>
      <w:r>
        <w:rPr>
          <w:rFonts w:ascii="Times New Roman" w:eastAsia="Times New Roman" w:hAnsi="Times New Roman" w:cs="Times New Roman"/>
          <w:sz w:val="24"/>
        </w:rPr>
        <w:t xml:space="preserve"> resulting in hyperinflation, significant currency devaluations, and declines in real wages. Countries like Brazil, Peru, and Zimbabwe may have used MMT arguments to justify extensive money creation in order to finance large public expenditures. Throughout</w:t>
      </w:r>
      <w:r>
        <w:rPr>
          <w:rFonts w:ascii="Times New Roman" w:eastAsia="Times New Roman" w:hAnsi="Times New Roman" w:cs="Times New Roman"/>
          <w:sz w:val="24"/>
        </w:rPr>
        <w:t xml:space="preserve"> the period of 2000–2008, the Reserve Bank of Zimbabwe (RBZ) engaged in quasi-fiscal activities in the hope of achieving full employment, increasing output, </w:t>
      </w:r>
      <w:r>
        <w:rPr>
          <w:rFonts w:ascii="Times New Roman" w:eastAsia="Times New Roman" w:hAnsi="Times New Roman" w:cs="Times New Roman"/>
          <w:sz w:val="24"/>
        </w:rPr>
        <w:lastRenderedPageBreak/>
        <w:t xml:space="preserve">and curbing inflationary pressures. However, as highlighted by </w:t>
      </w:r>
      <w:proofErr w:type="spellStart"/>
      <w:r>
        <w:rPr>
          <w:rFonts w:ascii="Times New Roman" w:eastAsia="Times New Roman" w:hAnsi="Times New Roman" w:cs="Times New Roman"/>
          <w:sz w:val="24"/>
        </w:rPr>
        <w:t>Mandishara</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Mupamhadzi</w:t>
      </w:r>
      <w:proofErr w:type="spellEnd"/>
      <w:r>
        <w:rPr>
          <w:rFonts w:ascii="Times New Roman" w:eastAsia="Times New Roman" w:hAnsi="Times New Roman" w:cs="Times New Roman"/>
          <w:sz w:val="24"/>
        </w:rPr>
        <w:t xml:space="preserve"> (2016), ex</w:t>
      </w:r>
      <w:r>
        <w:rPr>
          <w:rFonts w:ascii="Times New Roman" w:eastAsia="Times New Roman" w:hAnsi="Times New Roman" w:cs="Times New Roman"/>
          <w:sz w:val="24"/>
        </w:rPr>
        <w:t>cessive money creation intensified between 2005 and 2008, leading to a surge in inflation. The International Monetary Fund (IMF, 2009) also notes that Zimbabwe's inflation spiraled out of control in 2007 due to the significant monetization of fiscal defici</w:t>
      </w:r>
      <w:r>
        <w:rPr>
          <w:rFonts w:ascii="Times New Roman" w:eastAsia="Times New Roman" w:hAnsi="Times New Roman" w:cs="Times New Roman"/>
          <w:sz w:val="24"/>
        </w:rPr>
        <w:t>ts and the effects of the central bank's quasi-fiscal activities. Consequently, annual money growth skyrocketed, reaching an astonishing 431 quintillion percent by the end of December 2008, according to the RBZ (2008).</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As stated by </w:t>
      </w:r>
      <w:proofErr w:type="spellStart"/>
      <w:r>
        <w:rPr>
          <w:rFonts w:ascii="Times New Roman" w:eastAsia="Times New Roman" w:hAnsi="Times New Roman" w:cs="Times New Roman"/>
          <w:sz w:val="24"/>
        </w:rPr>
        <w:t>Alimi</w:t>
      </w:r>
      <w:proofErr w:type="spellEnd"/>
      <w:r>
        <w:rPr>
          <w:rFonts w:ascii="Times New Roman" w:eastAsia="Times New Roman" w:hAnsi="Times New Roman" w:cs="Times New Roman"/>
          <w:sz w:val="24"/>
        </w:rPr>
        <w:t xml:space="preserve"> (2014), a high in</w:t>
      </w:r>
      <w:r>
        <w:rPr>
          <w:rFonts w:ascii="Times New Roman" w:eastAsia="Times New Roman" w:hAnsi="Times New Roman" w:cs="Times New Roman"/>
          <w:sz w:val="24"/>
        </w:rPr>
        <w:t>flation rate has detrimental effects on the efficiency of the financial sector due to the presence of frictions in the financial markets. Particularly in developing countries with high reserve requirements, high inflation rates can act as substantial burde</w:t>
      </w:r>
      <w:r>
        <w:rPr>
          <w:rFonts w:ascii="Times New Roman" w:eastAsia="Times New Roman" w:hAnsi="Times New Roman" w:cs="Times New Roman"/>
          <w:sz w:val="24"/>
        </w:rPr>
        <w:t xml:space="preserve">ns on financial institutions. This indicates that elevated levels of inflation impede the </w:t>
      </w:r>
      <w:proofErr w:type="spellStart"/>
      <w:r>
        <w:rPr>
          <w:rFonts w:ascii="Times New Roman" w:eastAsia="Times New Roman" w:hAnsi="Times New Roman" w:cs="Times New Roman"/>
          <w:sz w:val="24"/>
        </w:rPr>
        <w:t>aaptitude</w:t>
      </w:r>
      <w:proofErr w:type="spellEnd"/>
      <w:r>
        <w:rPr>
          <w:rFonts w:ascii="Times New Roman" w:eastAsia="Times New Roman" w:hAnsi="Times New Roman" w:cs="Times New Roman"/>
          <w:sz w:val="24"/>
        </w:rPr>
        <w:t xml:space="preserve"> of the financial domain to apportion resources in an efficient and effective manner. Consequently, the allocation of resources falls below optimal levels, l</w:t>
      </w:r>
      <w:r>
        <w:rPr>
          <w:rFonts w:ascii="Times New Roman" w:eastAsia="Times New Roman" w:hAnsi="Times New Roman" w:cs="Times New Roman"/>
          <w:sz w:val="24"/>
        </w:rPr>
        <w:t>eading to a weakening of intermediary activities and ultimately having a negative impact on capital investment.</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B3023B">
      <w:pPr>
        <w:keepNext/>
        <w:keepLines/>
        <w:spacing w:before="400" w:after="36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2.1.5 Financial Instability Hypothesis (FIH) and the Legal Financial Theory (LFT).</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It is important to highlight that, unlike the aforementioned theories, these theories establish a distinct connection between financial stability and monetary policy by incorporating financial sector regulation. The Financial Instability Hypothesis (FIH), </w:t>
      </w:r>
      <w:r>
        <w:rPr>
          <w:rFonts w:ascii="Times New Roman" w:eastAsia="Times New Roman" w:hAnsi="Times New Roman" w:cs="Times New Roman"/>
          <w:sz w:val="24"/>
        </w:rPr>
        <w:t xml:space="preserve">proposed by Hyman P. </w:t>
      </w:r>
      <w:proofErr w:type="spellStart"/>
      <w:r>
        <w:rPr>
          <w:rFonts w:ascii="Times New Roman" w:eastAsia="Times New Roman" w:hAnsi="Times New Roman" w:cs="Times New Roman"/>
          <w:sz w:val="24"/>
        </w:rPr>
        <w:t>Minsky</w:t>
      </w:r>
      <w:proofErr w:type="spellEnd"/>
      <w:r>
        <w:rPr>
          <w:rFonts w:ascii="Times New Roman" w:eastAsia="Times New Roman" w:hAnsi="Times New Roman" w:cs="Times New Roman"/>
          <w:sz w:val="24"/>
        </w:rPr>
        <w:t xml:space="preserve"> in 1982, considers a capitalist economy with valuable capital assets and a sophisticated financial system. The theory aims to explain the factors that lead to economic collapses, which </w:t>
      </w:r>
      <w:proofErr w:type="spellStart"/>
      <w:r>
        <w:rPr>
          <w:rFonts w:ascii="Times New Roman" w:eastAsia="Times New Roman" w:hAnsi="Times New Roman" w:cs="Times New Roman"/>
          <w:sz w:val="24"/>
        </w:rPr>
        <w:t>Minsky</w:t>
      </w:r>
      <w:proofErr w:type="spellEnd"/>
      <w:r>
        <w:rPr>
          <w:rFonts w:ascii="Times New Roman" w:eastAsia="Times New Roman" w:hAnsi="Times New Roman" w:cs="Times New Roman"/>
          <w:sz w:val="24"/>
        </w:rPr>
        <w:t xml:space="preserve"> referred to as entering the "abyss."</w:t>
      </w:r>
      <w:r>
        <w:rPr>
          <w:rFonts w:ascii="Times New Roman" w:eastAsia="Times New Roman" w:hAnsi="Times New Roman" w:cs="Times New Roman"/>
          <w:sz w:val="24"/>
        </w:rPr>
        <w:t xml:space="preserve"> According to </w:t>
      </w:r>
      <w:proofErr w:type="spellStart"/>
      <w:r>
        <w:rPr>
          <w:rFonts w:ascii="Times New Roman" w:eastAsia="Times New Roman" w:hAnsi="Times New Roman" w:cs="Times New Roman"/>
          <w:sz w:val="24"/>
        </w:rPr>
        <w:t>Minsky</w:t>
      </w:r>
      <w:proofErr w:type="spellEnd"/>
      <w:r>
        <w:rPr>
          <w:rFonts w:ascii="Times New Roman" w:eastAsia="Times New Roman" w:hAnsi="Times New Roman" w:cs="Times New Roman"/>
          <w:sz w:val="24"/>
        </w:rPr>
        <w:t>, the banking domain plays a significant role in financing investment activities and is a prerequisite for the successful functioning of a capitalist economy. However, it can also contribute to financial sector instability, particularly</w:t>
      </w:r>
      <w:r>
        <w:rPr>
          <w:rFonts w:ascii="Times New Roman" w:eastAsia="Times New Roman" w:hAnsi="Times New Roman" w:cs="Times New Roman"/>
          <w:sz w:val="24"/>
        </w:rPr>
        <w:t xml:space="preserve"> during periods of economic booms when entrepreneurs accumulate significant levels of debt.</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roofErr w:type="spellStart"/>
      <w:r>
        <w:rPr>
          <w:rFonts w:ascii="Times New Roman" w:eastAsia="Times New Roman" w:hAnsi="Times New Roman" w:cs="Times New Roman"/>
          <w:sz w:val="24"/>
        </w:rPr>
        <w:t>Minsky</w:t>
      </w:r>
      <w:proofErr w:type="spellEnd"/>
      <w:r>
        <w:rPr>
          <w:rFonts w:ascii="Times New Roman" w:eastAsia="Times New Roman" w:hAnsi="Times New Roman" w:cs="Times New Roman"/>
          <w:sz w:val="24"/>
        </w:rPr>
        <w:t xml:space="preserve"> categorizes financial agents into three groups: (1) hedge, which remains solvent and liquid in the long run; (2) speculate, which may face short-term illiquidity but remains solvent in </w:t>
      </w:r>
      <w:r>
        <w:rPr>
          <w:rFonts w:ascii="Times New Roman" w:eastAsia="Times New Roman" w:hAnsi="Times New Roman" w:cs="Times New Roman"/>
          <w:sz w:val="24"/>
        </w:rPr>
        <w:lastRenderedPageBreak/>
        <w:t>the long run; and (3) Ponzi, which remains all solvent and liqu</w:t>
      </w:r>
      <w:r>
        <w:rPr>
          <w:rFonts w:ascii="Times New Roman" w:eastAsia="Times New Roman" w:hAnsi="Times New Roman" w:cs="Times New Roman"/>
          <w:sz w:val="24"/>
        </w:rPr>
        <w:t>id in both the short and long run. During an economic expansion, financial agents assess their portfolios and observe lower delinquency rates, leading them to validate riskier projects. In such times, safety margins are reduced, and if banks and other fina</w:t>
      </w:r>
      <w:r>
        <w:rPr>
          <w:rFonts w:ascii="Times New Roman" w:eastAsia="Times New Roman" w:hAnsi="Times New Roman" w:cs="Times New Roman"/>
          <w:sz w:val="24"/>
        </w:rPr>
        <w:t>ncial institutions experience defaults and falling equities, maintaining safety margins becomes costly, prompting them to further reduce them. With reduced safety margins and a higher proportion of speculative and Ponzi agents relative to hedge agents, eve</w:t>
      </w:r>
      <w:r>
        <w:rPr>
          <w:rFonts w:ascii="Times New Roman" w:eastAsia="Times New Roman" w:hAnsi="Times New Roman" w:cs="Times New Roman"/>
          <w:sz w:val="24"/>
        </w:rPr>
        <w:t xml:space="preserve">n a small shock in the economy can result in financial instability. Therefore, this hypothesis emphasizes the importance of prudent banking practices and financial regulation. </w:t>
      </w:r>
      <w:proofErr w:type="spellStart"/>
      <w:r>
        <w:rPr>
          <w:rFonts w:ascii="Times New Roman" w:eastAsia="Times New Roman" w:hAnsi="Times New Roman" w:cs="Times New Roman"/>
          <w:sz w:val="24"/>
        </w:rPr>
        <w:t>Minsky</w:t>
      </w:r>
      <w:proofErr w:type="spellEnd"/>
      <w:r>
        <w:rPr>
          <w:rFonts w:ascii="Times New Roman" w:eastAsia="Times New Roman" w:hAnsi="Times New Roman" w:cs="Times New Roman"/>
          <w:sz w:val="24"/>
        </w:rPr>
        <w:t xml:space="preserve"> implies that the intention of financial regulation is to avoid financial </w:t>
      </w:r>
      <w:r>
        <w:rPr>
          <w:rFonts w:ascii="Times New Roman" w:eastAsia="Times New Roman" w:hAnsi="Times New Roman" w:cs="Times New Roman"/>
          <w:sz w:val="24"/>
        </w:rPr>
        <w:t xml:space="preserve">fragility, and he suggests that the reserve bank should act as a provider of liquidity to the system. The Financial Instability Theory also gave rise to the lawful Theory of Finance, introduced by </w:t>
      </w:r>
      <w:proofErr w:type="spellStart"/>
      <w:r>
        <w:rPr>
          <w:rFonts w:ascii="Times New Roman" w:eastAsia="Times New Roman" w:hAnsi="Times New Roman" w:cs="Times New Roman"/>
          <w:sz w:val="24"/>
        </w:rPr>
        <w:t>Pistor</w:t>
      </w:r>
      <w:proofErr w:type="spellEnd"/>
      <w:r>
        <w:rPr>
          <w:rFonts w:ascii="Times New Roman" w:eastAsia="Times New Roman" w:hAnsi="Times New Roman" w:cs="Times New Roman"/>
          <w:sz w:val="24"/>
        </w:rPr>
        <w:t xml:space="preserve"> in 2013.</w:t>
      </w:r>
    </w:p>
    <w:p w:rsidR="00DF0840" w:rsidRDefault="00DF0840">
      <w:pPr>
        <w:spacing w:after="0" w:line="360" w:lineRule="auto"/>
        <w:jc w:val="both"/>
        <w:rPr>
          <w:rFonts w:ascii="Times New Roman" w:eastAsia="Times New Roman" w:hAnsi="Times New Roman" w:cs="Times New Roman"/>
          <w:sz w:val="24"/>
        </w:rPr>
      </w:pPr>
    </w:p>
    <w:p w:rsidR="00DF0840" w:rsidRDefault="00B3023B">
      <w:pPr>
        <w:keepNext/>
        <w:keepLines/>
        <w:spacing w:before="160" w:after="12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2.2. Empirical Literature Review</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Extensive</w:t>
      </w:r>
      <w:r>
        <w:rPr>
          <w:rFonts w:ascii="Times New Roman" w:eastAsia="Times New Roman" w:hAnsi="Times New Roman" w:cs="Times New Roman"/>
          <w:sz w:val="24"/>
        </w:rPr>
        <w:t xml:space="preserve"> research has been conducted to explore the influence of monetary policy on financial sector stability, with a multitude of studies analyzing the effects of diverse monetary policy interventions on financial stability outcomes. These studies have utilized </w:t>
      </w:r>
      <w:r>
        <w:rPr>
          <w:rFonts w:ascii="Times New Roman" w:eastAsia="Times New Roman" w:hAnsi="Times New Roman" w:cs="Times New Roman"/>
          <w:sz w:val="24"/>
        </w:rPr>
        <w:t>various monetary tools to evaluate their impact, and this section provides a comprehensive review of selected studies, categorizing them based on the outcomes of their findings. Studies that support theoretical propositions are classified as having positiv</w:t>
      </w:r>
      <w:r>
        <w:rPr>
          <w:rFonts w:ascii="Times New Roman" w:eastAsia="Times New Roman" w:hAnsi="Times New Roman" w:cs="Times New Roman"/>
          <w:sz w:val="24"/>
        </w:rPr>
        <w:t>e outcomes, while those that contradict theoretical propositions are deemed to have negative outcomes. Furthermore, there are studies that yield inconclusive results, characterized by neither a clear positive nor negative outcome, highlighting the complexi</w:t>
      </w:r>
      <w:r>
        <w:rPr>
          <w:rFonts w:ascii="Times New Roman" w:eastAsia="Times New Roman" w:hAnsi="Times New Roman" w:cs="Times New Roman"/>
          <w:sz w:val="24"/>
        </w:rPr>
        <w:t>ty of the relationship between monetary policy and financial stability.</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Khataybeh</w:t>
      </w:r>
      <w:proofErr w:type="spellEnd"/>
      <w:r>
        <w:rPr>
          <w:rFonts w:ascii="Times New Roman" w:eastAsia="Times New Roman" w:hAnsi="Times New Roman" w:cs="Times New Roman"/>
          <w:sz w:val="24"/>
        </w:rPr>
        <w:t xml:space="preserve"> and Al-</w:t>
      </w:r>
      <w:proofErr w:type="spellStart"/>
      <w:r>
        <w:rPr>
          <w:rFonts w:ascii="Times New Roman" w:eastAsia="Times New Roman" w:hAnsi="Times New Roman" w:cs="Times New Roman"/>
          <w:sz w:val="24"/>
        </w:rPr>
        <w:t>Tarawneh</w:t>
      </w:r>
      <w:proofErr w:type="spellEnd"/>
      <w:r>
        <w:rPr>
          <w:rFonts w:ascii="Times New Roman" w:eastAsia="Times New Roman" w:hAnsi="Times New Roman" w:cs="Times New Roman"/>
          <w:sz w:val="24"/>
        </w:rPr>
        <w:t xml:space="preserve"> (2016) conducted a comprehensive study to examine the relationship betwixt monetary policy and financial stability in Jordan, utilizing a vector auto-regress</w:t>
      </w:r>
      <w:r>
        <w:rPr>
          <w:rFonts w:ascii="Times New Roman" w:eastAsia="Times New Roman" w:hAnsi="Times New Roman" w:cs="Times New Roman"/>
          <w:sz w:val="24"/>
        </w:rPr>
        <w:t>ive (VAR) framework to analyze the connection. Their research sought to determine whether a link exists between monetary policy decisions and financial sector stability in Jordan. They employed a range of indicators, including policy instruments, deposits,</w:t>
      </w:r>
      <w:r>
        <w:rPr>
          <w:rFonts w:ascii="Times New Roman" w:eastAsia="Times New Roman" w:hAnsi="Times New Roman" w:cs="Times New Roman"/>
          <w:sz w:val="24"/>
        </w:rPr>
        <w:t xml:space="preserve"> and bank credits, and applied the Granger causality test to examine the impact of monetary policy shocks on the financial stability index. The study's findings revealed that shift in superfluity reserves had a </w:t>
      </w:r>
      <w:r>
        <w:rPr>
          <w:rFonts w:ascii="Times New Roman" w:eastAsia="Times New Roman" w:hAnsi="Times New Roman" w:cs="Times New Roman"/>
          <w:sz w:val="24"/>
        </w:rPr>
        <w:lastRenderedPageBreak/>
        <w:t>modest positive impact on financial stability</w:t>
      </w:r>
      <w:r>
        <w:rPr>
          <w:rFonts w:ascii="Times New Roman" w:eastAsia="Times New Roman" w:hAnsi="Times New Roman" w:cs="Times New Roman"/>
          <w:sz w:val="24"/>
        </w:rPr>
        <w:t>, while changes in domestic credit significantly influenced financial stability. These results suggest that monetary policy plays a vital role in maintaining financial sector stability, supporting the notion that central banks have the ability to effective</w:t>
      </w:r>
      <w:r>
        <w:rPr>
          <w:rFonts w:ascii="Times New Roman" w:eastAsia="Times New Roman" w:hAnsi="Times New Roman" w:cs="Times New Roman"/>
          <w:sz w:val="24"/>
        </w:rPr>
        <w:t>ly promote financial stability through careful and well-designed policy decisions.</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Akomolafe</w:t>
      </w:r>
      <w:proofErr w:type="spellEnd"/>
      <w:r>
        <w:rPr>
          <w:rFonts w:ascii="Times New Roman" w:eastAsia="Times New Roman" w:hAnsi="Times New Roman" w:cs="Times New Roman"/>
          <w:sz w:val="24"/>
        </w:rPr>
        <w:t xml:space="preserve"> et al. (2015) carried out a comprehensive micro-panel analysis in Sub-Saharan Africa to examine the effect of monetary policy on the financial performance of comm</w:t>
      </w:r>
      <w:r>
        <w:rPr>
          <w:rFonts w:ascii="Times New Roman" w:eastAsia="Times New Roman" w:hAnsi="Times New Roman" w:cs="Times New Roman"/>
          <w:sz w:val="24"/>
        </w:rPr>
        <w:t>ercial banks in Nigeria. Using interest rates and money supply as indicators of monetary policy and profit before tax (PBT) as a metric for bank performance, they employed advanced statistical techniques, including pooled regression and fixed effects regre</w:t>
      </w:r>
      <w:r>
        <w:rPr>
          <w:rFonts w:ascii="Times New Roman" w:eastAsia="Times New Roman" w:hAnsi="Times New Roman" w:cs="Times New Roman"/>
          <w:sz w:val="24"/>
        </w:rPr>
        <w:t xml:space="preserve">ssion. Their findings revealed a positive correlation betwixt monetary policy and bank performance, with both interest rates and money supply having a substantial impact. However, the study also showed that the relationship between interest rates and bank </w:t>
      </w:r>
      <w:r>
        <w:rPr>
          <w:rFonts w:ascii="Times New Roman" w:eastAsia="Times New Roman" w:hAnsi="Times New Roman" w:cs="Times New Roman"/>
          <w:sz w:val="24"/>
        </w:rPr>
        <w:t>performance is complex, as the significance of interest rates was not evident at the 1% and 5% levels, suggesting that other factors may also influence this relationship.</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Between 1978 and 2008, Nigeria was the focus of a study that examined the effectiven</w:t>
      </w:r>
      <w:r>
        <w:rPr>
          <w:rFonts w:ascii="Times New Roman" w:eastAsia="Times New Roman" w:hAnsi="Times New Roman" w:cs="Times New Roman"/>
          <w:sz w:val="24"/>
        </w:rPr>
        <w:t>ess of monetary policy instruments in stimulating credit. Utilizing the Engle-Granger two-step co-integration approach, the research revealed that these instruments had no significant impact on credit in the long run. The study found a positive correlation</w:t>
      </w:r>
      <w:r>
        <w:rPr>
          <w:rFonts w:ascii="Times New Roman" w:eastAsia="Times New Roman" w:hAnsi="Times New Roman" w:cs="Times New Roman"/>
          <w:sz w:val="24"/>
        </w:rPr>
        <w:t xml:space="preserve"> between the bank rate, inflation rate, and exchange rate and bank credit, indicating that changes in these variables led to increases in credit. In contrast, the liquidity ratio and cash reserves had a negative relationship with total credit, suggesting t</w:t>
      </w:r>
      <w:r>
        <w:rPr>
          <w:rFonts w:ascii="Times New Roman" w:eastAsia="Times New Roman" w:hAnsi="Times New Roman" w:cs="Times New Roman"/>
          <w:sz w:val="24"/>
        </w:rPr>
        <w:t xml:space="preserve">hat increases in these variables led to decreases in credit. In a separate study, </w:t>
      </w:r>
      <w:proofErr w:type="spellStart"/>
      <w:r>
        <w:rPr>
          <w:rFonts w:ascii="Times New Roman" w:eastAsia="Times New Roman" w:hAnsi="Times New Roman" w:cs="Times New Roman"/>
          <w:sz w:val="24"/>
        </w:rPr>
        <w:t>Amassoma</w:t>
      </w:r>
      <w:proofErr w:type="spellEnd"/>
      <w:r>
        <w:rPr>
          <w:rFonts w:ascii="Times New Roman" w:eastAsia="Times New Roman" w:hAnsi="Times New Roman" w:cs="Times New Roman"/>
          <w:sz w:val="24"/>
        </w:rPr>
        <w:t xml:space="preserve"> et al. (2011) employed ordinary least squares and unit root and co-integration tests to investigate the impact of monetary policy on macroeconomic variables in Niger</w:t>
      </w:r>
      <w:r>
        <w:rPr>
          <w:rFonts w:ascii="Times New Roman" w:eastAsia="Times New Roman" w:hAnsi="Times New Roman" w:cs="Times New Roman"/>
          <w:sz w:val="24"/>
        </w:rPr>
        <w:t>ia. Their findings indicated that monetary policy had a significant influence on the exchange rate but did not significantly impact price stability.</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In Zimbabwe, </w:t>
      </w:r>
      <w:proofErr w:type="spellStart"/>
      <w:r>
        <w:rPr>
          <w:rFonts w:ascii="Times New Roman" w:eastAsia="Times New Roman" w:hAnsi="Times New Roman" w:cs="Times New Roman"/>
          <w:sz w:val="24"/>
        </w:rPr>
        <w:t>Kavila</w:t>
      </w:r>
      <w:proofErr w:type="spellEnd"/>
      <w:r>
        <w:rPr>
          <w:rFonts w:ascii="Times New Roman" w:eastAsia="Times New Roman" w:hAnsi="Times New Roman" w:cs="Times New Roman"/>
          <w:sz w:val="24"/>
        </w:rPr>
        <w:t xml:space="preserve"> and Le Roux (2017) conducted a study to investigate the impact of monetary policy duri</w:t>
      </w:r>
      <w:r>
        <w:rPr>
          <w:rFonts w:ascii="Times New Roman" w:eastAsia="Times New Roman" w:hAnsi="Times New Roman" w:cs="Times New Roman"/>
          <w:sz w:val="24"/>
        </w:rPr>
        <w:t xml:space="preserve">ng a period of severe hyperinflation from 2006 to 2008. Employing advanced statistical models, including auto-regressive distributed lag and error correction </w:t>
      </w:r>
      <w:r>
        <w:rPr>
          <w:rFonts w:ascii="Times New Roman" w:eastAsia="Times New Roman" w:hAnsi="Times New Roman" w:cs="Times New Roman"/>
          <w:sz w:val="24"/>
        </w:rPr>
        <w:lastRenderedPageBreak/>
        <w:t>models, they examined the relationship between the consumer price index and various key variables,</w:t>
      </w:r>
      <w:r>
        <w:rPr>
          <w:rFonts w:ascii="Times New Roman" w:eastAsia="Times New Roman" w:hAnsi="Times New Roman" w:cs="Times New Roman"/>
          <w:sz w:val="24"/>
        </w:rPr>
        <w:t xml:space="preserve"> such as broad money supply, parallel market exchange rate, interest rate, and the lagged consumer price index. Their research revealed that the adoption of expansionary monetary policies significantly contributed to the hyperinflation episode. Similarly, </w:t>
      </w:r>
      <w:proofErr w:type="spellStart"/>
      <w:r>
        <w:rPr>
          <w:rFonts w:ascii="Times New Roman" w:eastAsia="Times New Roman" w:hAnsi="Times New Roman" w:cs="Times New Roman"/>
          <w:sz w:val="24"/>
        </w:rPr>
        <w:t>Makochekanwa</w:t>
      </w:r>
      <w:proofErr w:type="spellEnd"/>
      <w:r>
        <w:rPr>
          <w:rFonts w:ascii="Times New Roman" w:eastAsia="Times New Roman" w:hAnsi="Times New Roman" w:cs="Times New Roman"/>
          <w:sz w:val="24"/>
        </w:rPr>
        <w:t xml:space="preserve"> (2007) utilized the Granger Causality Test to investigate the underlying causes of hyperinflation in Zimbabwe and found that both the growth in money supply and the black market for foreign exchange played crucial roles in driving inflation an</w:t>
      </w:r>
      <w:r>
        <w:rPr>
          <w:rFonts w:ascii="Times New Roman" w:eastAsia="Times New Roman" w:hAnsi="Times New Roman" w:cs="Times New Roman"/>
          <w:sz w:val="24"/>
        </w:rPr>
        <w:t>d financial instability in the country.</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Serge </w:t>
      </w:r>
      <w:proofErr w:type="spellStart"/>
      <w:r>
        <w:rPr>
          <w:rFonts w:ascii="Times New Roman" w:eastAsia="Times New Roman" w:hAnsi="Times New Roman" w:cs="Times New Roman"/>
          <w:sz w:val="24"/>
        </w:rPr>
        <w:t>Jeanneau's</w:t>
      </w:r>
      <w:proofErr w:type="spellEnd"/>
      <w:r>
        <w:rPr>
          <w:rFonts w:ascii="Times New Roman" w:eastAsia="Times New Roman" w:hAnsi="Times New Roman" w:cs="Times New Roman"/>
          <w:sz w:val="24"/>
        </w:rPr>
        <w:t xml:space="preserve"> (2009) research shed light on the obstacles faced by Sub-Saharan Africa in reforming its financial stability frameworks. A key challenge was the ambiguity surrounding the central bank's role in ensu</w:t>
      </w:r>
      <w:r>
        <w:rPr>
          <w:rFonts w:ascii="Times New Roman" w:eastAsia="Times New Roman" w:hAnsi="Times New Roman" w:cs="Times New Roman"/>
          <w:sz w:val="24"/>
        </w:rPr>
        <w:t>ring financial stability. Although most central banks consider themselves responsible for promoting financial stability, their mandates often fail to explicitly mention this objective. In fact, a significant proportion (around one-third) of central bank la</w:t>
      </w:r>
      <w:r>
        <w:rPr>
          <w:rFonts w:ascii="Times New Roman" w:eastAsia="Times New Roman" w:hAnsi="Times New Roman" w:cs="Times New Roman"/>
          <w:sz w:val="24"/>
        </w:rPr>
        <w:t>ws omit financial stability goals, and even when they are mentioned, they are often less clearly defined than monetary policy objectives. This ambiguity stems from the inherent difficulty in quantifying and measuring financial stability, unlike price stabi</w:t>
      </w:r>
      <w:r>
        <w:rPr>
          <w:rFonts w:ascii="Times New Roman" w:eastAsia="Times New Roman" w:hAnsi="Times New Roman" w:cs="Times New Roman"/>
          <w:sz w:val="24"/>
        </w:rPr>
        <w:t>lity, which can be more easily quantified and tracked.</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G.M. </w:t>
      </w:r>
      <w:proofErr w:type="spellStart"/>
      <w:r>
        <w:rPr>
          <w:rFonts w:ascii="Times New Roman" w:eastAsia="Times New Roman" w:hAnsi="Times New Roman" w:cs="Times New Roman"/>
          <w:sz w:val="24"/>
        </w:rPr>
        <w:t>Chhipungu's</w:t>
      </w:r>
      <w:proofErr w:type="spellEnd"/>
      <w:r>
        <w:rPr>
          <w:rFonts w:ascii="Times New Roman" w:eastAsia="Times New Roman" w:hAnsi="Times New Roman" w:cs="Times New Roman"/>
          <w:sz w:val="24"/>
        </w:rPr>
        <w:t xml:space="preserve"> (2020) study revealed that numerous Sub-Saharan African nations underwent significant reforms in their monetary policy frameworks in the 1990s, transitioning to market-oriented approa</w:t>
      </w:r>
      <w:r>
        <w:rPr>
          <w:rFonts w:ascii="Times New Roman" w:eastAsia="Times New Roman" w:hAnsi="Times New Roman" w:cs="Times New Roman"/>
          <w:sz w:val="24"/>
        </w:rPr>
        <w:t>ches, revamping their financial systems, and altering their monetary policy implementation. The primary objective of these reforms was to enhance the efficacy of monetary policy in achieving price stability and promoting economic growth. However, despite t</w:t>
      </w:r>
      <w:r>
        <w:rPr>
          <w:rFonts w:ascii="Times New Roman" w:eastAsia="Times New Roman" w:hAnsi="Times New Roman" w:cs="Times New Roman"/>
          <w:sz w:val="24"/>
        </w:rPr>
        <w:t>hese efforts, the region continues to grapple with persistent challenges such as high inflation and fluctuating GDP growth. As a result, there is a pressing need for a comprehensive examination of monetary policy effectiveness in this region to address the</w:t>
      </w:r>
      <w:r>
        <w:rPr>
          <w:rFonts w:ascii="Times New Roman" w:eastAsia="Times New Roman" w:hAnsi="Times New Roman" w:cs="Times New Roman"/>
          <w:sz w:val="24"/>
        </w:rPr>
        <w:t>se ongoing challenges and identify potential areas for improvement, ultimately contributing to more effective economic management and development.</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w:t>
      </w:r>
    </w:p>
    <w:p w:rsidR="00DF0840" w:rsidRDefault="00DF0840">
      <w:pPr>
        <w:spacing w:after="0" w:line="360" w:lineRule="auto"/>
        <w:jc w:val="both"/>
        <w:rPr>
          <w:rFonts w:ascii="Times New Roman" w:eastAsia="Times New Roman" w:hAnsi="Times New Roman" w:cs="Times New Roman"/>
          <w:sz w:val="24"/>
        </w:rPr>
      </w:pPr>
    </w:p>
    <w:p w:rsidR="00DF0840" w:rsidRDefault="00B3023B">
      <w:pPr>
        <w:keepNext/>
        <w:keepLines/>
        <w:spacing w:before="160" w:after="12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2.3. Research gap analysis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Extensive research has been conducted on the impact of monetary policy on fina</w:t>
      </w:r>
      <w:r>
        <w:rPr>
          <w:rFonts w:ascii="Times New Roman" w:eastAsia="Times New Roman" w:hAnsi="Times New Roman" w:cs="Times New Roman"/>
          <w:sz w:val="24"/>
        </w:rPr>
        <w:t xml:space="preserve">ncial sector stability in Sub-Saharan Africa, with most studies examining the overall effect on the financial sector. However, some research has delved deeper, exploring specific aspects and dynamics. A notable example is </w:t>
      </w:r>
      <w:proofErr w:type="spellStart"/>
      <w:r>
        <w:rPr>
          <w:rFonts w:ascii="Times New Roman" w:eastAsia="Times New Roman" w:hAnsi="Times New Roman" w:cs="Times New Roman"/>
          <w:sz w:val="24"/>
        </w:rPr>
        <w:t>Makochekanwa's</w:t>
      </w:r>
      <w:proofErr w:type="spellEnd"/>
      <w:r>
        <w:rPr>
          <w:rFonts w:ascii="Times New Roman" w:eastAsia="Times New Roman" w:hAnsi="Times New Roman" w:cs="Times New Roman"/>
          <w:sz w:val="24"/>
        </w:rPr>
        <w:t xml:space="preserve"> (2007) study, which</w:t>
      </w:r>
      <w:r>
        <w:rPr>
          <w:rFonts w:ascii="Times New Roman" w:eastAsia="Times New Roman" w:hAnsi="Times New Roman" w:cs="Times New Roman"/>
          <w:sz w:val="24"/>
        </w:rPr>
        <w:t xml:space="preserve"> employed the Granger causality test to investigate the causes of hyperinflation in Zimbabwe. The study revealed that both money supply and the black market for foreign exchange played significant roles in driving inflation and financial instability. These</w:t>
      </w:r>
      <w:r>
        <w:rPr>
          <w:rFonts w:ascii="Times New Roman" w:eastAsia="Times New Roman" w:hAnsi="Times New Roman" w:cs="Times New Roman"/>
          <w:sz w:val="24"/>
        </w:rPr>
        <w:t xml:space="preserve"> findings underscore the importance of considering specific factors and nuances when evaluating the impact of monetary policy on financial sector stability, highlighting the need for a more nuanced understanding of the complex relationships at </w:t>
      </w:r>
      <w:proofErr w:type="spellStart"/>
      <w:r>
        <w:rPr>
          <w:rFonts w:ascii="Times New Roman" w:eastAsia="Times New Roman" w:hAnsi="Times New Roman" w:cs="Times New Roman"/>
          <w:sz w:val="24"/>
        </w:rPr>
        <w:t>play.This</w:t>
      </w:r>
      <w:proofErr w:type="spellEnd"/>
      <w:r>
        <w:rPr>
          <w:rFonts w:ascii="Times New Roman" w:eastAsia="Times New Roman" w:hAnsi="Times New Roman" w:cs="Times New Roman"/>
          <w:sz w:val="24"/>
        </w:rPr>
        <w:t xml:space="preserve"> im</w:t>
      </w:r>
      <w:r>
        <w:rPr>
          <w:rFonts w:ascii="Times New Roman" w:eastAsia="Times New Roman" w:hAnsi="Times New Roman" w:cs="Times New Roman"/>
          <w:sz w:val="24"/>
        </w:rPr>
        <w:t xml:space="preserve">plies that governments in Sub-Saharan Africa have not sufficiently addressed the crucial issue of illicit activities, such as the growing black market, which contribute to hyperinflation. It is necessary for them to implement effective measures to address </w:t>
      </w:r>
      <w:r>
        <w:rPr>
          <w:rFonts w:ascii="Times New Roman" w:eastAsia="Times New Roman" w:hAnsi="Times New Roman" w:cs="Times New Roman"/>
          <w:sz w:val="24"/>
        </w:rPr>
        <w:t xml:space="preserve">this issue in order to promote financial stability across the region. Similarly, Serge </w:t>
      </w:r>
      <w:proofErr w:type="spellStart"/>
      <w:r>
        <w:rPr>
          <w:rFonts w:ascii="Times New Roman" w:eastAsia="Times New Roman" w:hAnsi="Times New Roman" w:cs="Times New Roman"/>
          <w:sz w:val="24"/>
        </w:rPr>
        <w:t>Jeanneau's</w:t>
      </w:r>
      <w:proofErr w:type="spellEnd"/>
      <w:r>
        <w:rPr>
          <w:rFonts w:ascii="Times New Roman" w:eastAsia="Times New Roman" w:hAnsi="Times New Roman" w:cs="Times New Roman"/>
          <w:sz w:val="24"/>
        </w:rPr>
        <w:t xml:space="preserve"> (2009) study examined the challenges in defining the central bank's mandate in relation to financial stability. The study found that while central banks perce</w:t>
      </w:r>
      <w:r>
        <w:rPr>
          <w:rFonts w:ascii="Times New Roman" w:eastAsia="Times New Roman" w:hAnsi="Times New Roman" w:cs="Times New Roman"/>
          <w:sz w:val="24"/>
        </w:rPr>
        <w:t>ive themselves as having full responsibility for overseeing and formulating policies related to financial stability, their actual mandates often lack explicit mention of financial stability. Unlike price stability, measuring financial stability poses a mor</w:t>
      </w:r>
      <w:r>
        <w:rPr>
          <w:rFonts w:ascii="Times New Roman" w:eastAsia="Times New Roman" w:hAnsi="Times New Roman" w:cs="Times New Roman"/>
          <w:sz w:val="24"/>
        </w:rPr>
        <w:t>e complex task. Therefore, it is crucial to recognize and prioritize financial stability as an important aspect that requires clear mandates and the development of appropriate tools to address it effectively across the region.</w:t>
      </w: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B3023B">
      <w:pPr>
        <w:keepNext/>
        <w:keepLines/>
        <w:spacing w:before="160" w:after="12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2.4. Chapter Summary</w:t>
      </w: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sz w:val="24"/>
        </w:rPr>
        <w:t>This c</w:t>
      </w:r>
      <w:r>
        <w:rPr>
          <w:rFonts w:ascii="Times New Roman" w:eastAsia="Times New Roman" w:hAnsi="Times New Roman" w:cs="Times New Roman"/>
          <w:sz w:val="24"/>
        </w:rPr>
        <w:t xml:space="preserve">hapter established the theoretical foundation for the research, presenting a range of fundamental economic models that provide the framework for the analysis. These models encompass the monetary policy transmission mechanism, the quantity theory of money, </w:t>
      </w:r>
      <w:r>
        <w:rPr>
          <w:rFonts w:ascii="Times New Roman" w:eastAsia="Times New Roman" w:hAnsi="Times New Roman" w:cs="Times New Roman"/>
          <w:sz w:val="24"/>
        </w:rPr>
        <w:t>currency substitution theory, Gresham's law, modern money theory, and the financial instability hypothesis. The chapter also conducted a comprehensive review of existing empirical research on the impact of monetary policy on financial sector stability in S</w:t>
      </w:r>
      <w:r>
        <w:rPr>
          <w:rFonts w:ascii="Times New Roman" w:eastAsia="Times New Roman" w:hAnsi="Times New Roman" w:cs="Times New Roman"/>
          <w:sz w:val="24"/>
        </w:rPr>
        <w:t xml:space="preserve">ub-Saharan Africa, </w:t>
      </w:r>
      <w:r>
        <w:rPr>
          <w:rFonts w:ascii="Times New Roman" w:eastAsia="Times New Roman" w:hAnsi="Times New Roman" w:cs="Times New Roman"/>
          <w:sz w:val="24"/>
        </w:rPr>
        <w:lastRenderedPageBreak/>
        <w:t xml:space="preserve">summarizing the key findings and identifying areas where further research is needed. Additionally, the chapter examined the disparities in outcomes across various studies, laying the groundwork for a thorough and in-depth investigation. </w:t>
      </w:r>
      <w:r>
        <w:rPr>
          <w:rFonts w:ascii="Times New Roman" w:eastAsia="Times New Roman" w:hAnsi="Times New Roman" w:cs="Times New Roman"/>
          <w:sz w:val="24"/>
        </w:rPr>
        <w:t>By synthesizing the existing knowledge and highlighting the knowledge gaps, this chapter has set the stage for a comprehensive examination of the topic.</w:t>
      </w: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B3023B">
      <w:pPr>
        <w:keepNext/>
        <w:keepLines/>
        <w:spacing w:before="360"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CHAPTER III</w:t>
      </w:r>
    </w:p>
    <w:p w:rsidR="00DF0840" w:rsidRDefault="00DF0840">
      <w:pPr>
        <w:keepNext/>
        <w:keepLines/>
        <w:spacing w:before="360" w:after="120" w:line="360" w:lineRule="auto"/>
        <w:jc w:val="center"/>
        <w:rPr>
          <w:rFonts w:ascii="Times New Roman" w:eastAsia="Times New Roman" w:hAnsi="Times New Roman" w:cs="Times New Roman"/>
          <w:b/>
          <w:sz w:val="24"/>
        </w:rPr>
      </w:pPr>
    </w:p>
    <w:p w:rsidR="00DF0840" w:rsidRDefault="00B3023B">
      <w:pPr>
        <w:keepNext/>
        <w:keepLines/>
        <w:spacing w:before="360"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RESEARCH METHODOLOGY</w:t>
      </w:r>
    </w:p>
    <w:p w:rsidR="00DF0840" w:rsidRDefault="00DF0840">
      <w:pPr>
        <w:keepNext/>
        <w:keepLines/>
        <w:spacing w:before="360" w:after="120" w:line="360" w:lineRule="auto"/>
        <w:jc w:val="center"/>
        <w:rPr>
          <w:rFonts w:ascii="Times New Roman" w:eastAsia="Times New Roman" w:hAnsi="Times New Roman" w:cs="Times New Roman"/>
          <w:b/>
          <w:sz w:val="24"/>
        </w:rPr>
      </w:pPr>
    </w:p>
    <w:p w:rsidR="00DF0840" w:rsidRDefault="00B3023B">
      <w:pPr>
        <w:keepNext/>
        <w:keepLines/>
        <w:spacing w:before="160"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3.0. Introduction </w:t>
      </w:r>
    </w:p>
    <w:p w:rsidR="00DF0840" w:rsidRDefault="00B3023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This chapter provides a detailed explanation of the research design and analytical framework employed to examine the effect of monetary policy on financial sector stability in Sub-Saharan Africa. It outlines the methodological approach used to collect and </w:t>
      </w:r>
      <w:r>
        <w:rPr>
          <w:rFonts w:ascii="Times New Roman" w:eastAsia="Times New Roman" w:hAnsi="Times New Roman" w:cs="Times New Roman"/>
          <w:sz w:val="24"/>
        </w:rPr>
        <w:t xml:space="preserve">analyze data, as well as the specific models and techniques utilized to investigate the relationship between monetary policy and financial sector stability in the region. By describing the research methodology and model, this chapter provides a foundation </w:t>
      </w:r>
      <w:r>
        <w:rPr>
          <w:rFonts w:ascii="Times New Roman" w:eastAsia="Times New Roman" w:hAnsi="Times New Roman" w:cs="Times New Roman"/>
          <w:sz w:val="24"/>
        </w:rPr>
        <w:t xml:space="preserve">for understanding the results and findings presented in subsequent chapters. The study employs panel data spanning from 2009 to 2023 and provides </w:t>
      </w:r>
      <w:r>
        <w:rPr>
          <w:rFonts w:ascii="Times New Roman" w:eastAsia="Times New Roman" w:hAnsi="Times New Roman" w:cs="Times New Roman"/>
          <w:sz w:val="24"/>
        </w:rPr>
        <w:lastRenderedPageBreak/>
        <w:t>anticipated outcomes. The chapter also details the research design, subject selection, model specification, va</w:t>
      </w:r>
      <w:r>
        <w:rPr>
          <w:rFonts w:ascii="Times New Roman" w:eastAsia="Times New Roman" w:hAnsi="Times New Roman" w:cs="Times New Roman"/>
          <w:sz w:val="24"/>
        </w:rPr>
        <w:t>riable measurement, estimation procedures, econometric tests, and data collection methods. In conclusion, this chapter provides a succinct summary of the research methodology, offering a comprehensive overview of the analytical framework and approach emplo</w:t>
      </w:r>
      <w:r>
        <w:rPr>
          <w:rFonts w:ascii="Times New Roman" w:eastAsia="Times New Roman" w:hAnsi="Times New Roman" w:cs="Times New Roman"/>
          <w:sz w:val="24"/>
        </w:rPr>
        <w:t xml:space="preserve">yed to investigate the relationship between monetary policy and financial sector stability in Sub-Saharan Africa. This summary serves as a concise recap of the research design, data collection and analysis methods, and models used to examine the impact of </w:t>
      </w:r>
      <w:r>
        <w:rPr>
          <w:rFonts w:ascii="Times New Roman" w:eastAsia="Times New Roman" w:hAnsi="Times New Roman" w:cs="Times New Roman"/>
          <w:sz w:val="24"/>
        </w:rPr>
        <w:t>monetary policy on financial sector stability in the region, providing a clear understanding of the overall analytical approach adopted in the study.</w:t>
      </w:r>
    </w:p>
    <w:p w:rsidR="00DF0840" w:rsidRDefault="00DF0840">
      <w:pPr>
        <w:spacing w:after="0" w:line="360" w:lineRule="auto"/>
        <w:jc w:val="both"/>
        <w:rPr>
          <w:rFonts w:ascii="Times New Roman" w:eastAsia="Times New Roman" w:hAnsi="Times New Roman" w:cs="Times New Roman"/>
          <w:b/>
          <w:sz w:val="24"/>
        </w:rPr>
      </w:pPr>
    </w:p>
    <w:p w:rsidR="00DF0840" w:rsidRDefault="00B3023B">
      <w:pPr>
        <w:keepNext/>
        <w:keepLines/>
        <w:spacing w:before="160" w:after="12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3.1. Research Design</w:t>
      </w: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sz w:val="24"/>
        </w:rPr>
        <w:t>The research problem was addressed through a panel data design, leveraging data from</w:t>
      </w:r>
      <w:r>
        <w:rPr>
          <w:rFonts w:ascii="Times New Roman" w:eastAsia="Times New Roman" w:hAnsi="Times New Roman" w:cs="Times New Roman"/>
          <w:sz w:val="24"/>
        </w:rPr>
        <w:t xml:space="preserve"> two reputable sources: the World Bank Development Indicators (WBWDI) and Studies in Economic and Public Policy. This approach enabled the analysis of multiple countries and years, providing a comprehensive understanding of Panel data the connection betwix</w:t>
      </w:r>
      <w:r>
        <w:rPr>
          <w:rFonts w:ascii="Times New Roman" w:eastAsia="Times New Roman" w:hAnsi="Times New Roman" w:cs="Times New Roman"/>
          <w:sz w:val="24"/>
        </w:rPr>
        <w:t xml:space="preserve">t monetary policy decisions and the stability of the financial sector in Sub-Saharan Africa is examined in this research, with a focus on how central bank actions impact the soundness and resilience of financial systems </w:t>
      </w: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the region. </w:t>
      </w:r>
      <w:proofErr w:type="gramStart"/>
      <w:r>
        <w:rPr>
          <w:rFonts w:ascii="Times New Roman" w:eastAsia="Times New Roman" w:hAnsi="Times New Roman" w:cs="Times New Roman"/>
          <w:sz w:val="24"/>
        </w:rPr>
        <w:t>data</w:t>
      </w:r>
      <w:proofErr w:type="gramEnd"/>
      <w:r>
        <w:rPr>
          <w:rFonts w:ascii="Times New Roman" w:eastAsia="Times New Roman" w:hAnsi="Times New Roman" w:cs="Times New Roman"/>
          <w:sz w:val="24"/>
        </w:rPr>
        <w:t xml:space="preserve"> analysis allows f</w:t>
      </w:r>
      <w:r>
        <w:rPr>
          <w:rFonts w:ascii="Times New Roman" w:eastAsia="Times New Roman" w:hAnsi="Times New Roman" w:cs="Times New Roman"/>
          <w:sz w:val="24"/>
        </w:rPr>
        <w:t>or comparing the current performance of data with past performance. By studying multiple countries in Sub-Saharan Africa over time, panel data analysis enables the identification and control of country-specific factors that may impact financial sector stab</w:t>
      </w:r>
      <w:r>
        <w:rPr>
          <w:rFonts w:ascii="Times New Roman" w:eastAsia="Times New Roman" w:hAnsi="Times New Roman" w:cs="Times New Roman"/>
          <w:sz w:val="24"/>
        </w:rPr>
        <w:t xml:space="preserve">ility. It helps distinguish between effects specific to each country and those specific to a particular period, leading to more accurate </w:t>
      </w:r>
      <w:proofErr w:type="spellStart"/>
      <w:r>
        <w:rPr>
          <w:rFonts w:ascii="Times New Roman" w:eastAsia="Times New Roman" w:hAnsi="Times New Roman" w:cs="Times New Roman"/>
          <w:sz w:val="24"/>
        </w:rPr>
        <w:t>estimates.The</w:t>
      </w:r>
      <w:proofErr w:type="spellEnd"/>
      <w:r>
        <w:rPr>
          <w:rFonts w:ascii="Times New Roman" w:eastAsia="Times New Roman" w:hAnsi="Times New Roman" w:cs="Times New Roman"/>
          <w:sz w:val="24"/>
        </w:rPr>
        <w:t xml:space="preserve"> World Bank has a long-standing tradition of partnering on panel surveys, most notably the comprehensive a</w:t>
      </w:r>
      <w:r>
        <w:rPr>
          <w:rFonts w:ascii="Times New Roman" w:eastAsia="Times New Roman" w:hAnsi="Times New Roman" w:cs="Times New Roman"/>
          <w:sz w:val="24"/>
        </w:rPr>
        <w:t>nnual survey of 200 sizable Chinese township and village enterprises, which was conducted from 1984 to 1990 (Hsiao et al., 1998). This collaboration enabled the collection of valuable data and insights into the dynamics of these enterprises over a seven-ye</w:t>
      </w:r>
      <w:r>
        <w:rPr>
          <w:rFonts w:ascii="Times New Roman" w:eastAsia="Times New Roman" w:hAnsi="Times New Roman" w:cs="Times New Roman"/>
          <w:sz w:val="24"/>
        </w:rPr>
        <w:t>ar period. Such longitudinal studies provide valuable insights into past trends and patterns, enabling researchers to make more accurate predictions and informed decisions about future economic developments. By supporting and participating in these initiat</w:t>
      </w:r>
      <w:r>
        <w:rPr>
          <w:rFonts w:ascii="Times New Roman" w:eastAsia="Times New Roman" w:hAnsi="Times New Roman" w:cs="Times New Roman"/>
          <w:sz w:val="24"/>
        </w:rPr>
        <w:t>ives, the World Bank contributes to the advancement of economic research and policy-making.</w:t>
      </w:r>
      <w:r>
        <w:rPr>
          <w:rFonts w:ascii="Times New Roman" w:eastAsia="Times New Roman" w:hAnsi="Times New Roman" w:cs="Times New Roman"/>
          <w:b/>
          <w:sz w:val="24"/>
        </w:rPr>
        <w:t>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Panel data analysis is induced by several elements, one of which is the requirement of a comprehensive and reliable dataset containing observations from multiple e</w:t>
      </w:r>
      <w:r>
        <w:rPr>
          <w:rFonts w:ascii="Times New Roman" w:eastAsia="Times New Roman" w:hAnsi="Times New Roman" w:cs="Times New Roman"/>
          <w:sz w:val="24"/>
        </w:rPr>
        <w:t xml:space="preserve">ntities and time periods. However, obtaining such data specific to Sub-Saharan Africa can be challenging due to limitations and inconsistencies in data collection and documentation across countries in the </w:t>
      </w:r>
      <w:proofErr w:type="spellStart"/>
      <w:r>
        <w:rPr>
          <w:rFonts w:ascii="Times New Roman" w:eastAsia="Times New Roman" w:hAnsi="Times New Roman" w:cs="Times New Roman"/>
          <w:sz w:val="24"/>
        </w:rPr>
        <w:t>regionCollecting</w:t>
      </w:r>
      <w:proofErr w:type="spellEnd"/>
      <w:r>
        <w:rPr>
          <w:rFonts w:ascii="Times New Roman" w:eastAsia="Times New Roman" w:hAnsi="Times New Roman" w:cs="Times New Roman"/>
          <w:sz w:val="24"/>
        </w:rPr>
        <w:t xml:space="preserve"> and preparing data can be a </w:t>
      </w:r>
      <w:proofErr w:type="spellStart"/>
      <w:r>
        <w:rPr>
          <w:rFonts w:ascii="Times New Roman" w:eastAsia="Times New Roman" w:hAnsi="Times New Roman" w:cs="Times New Roman"/>
          <w:sz w:val="24"/>
        </w:rPr>
        <w:t>labour</w:t>
      </w:r>
      <w:r>
        <w:rPr>
          <w:rFonts w:ascii="Times New Roman" w:eastAsia="Times New Roman" w:hAnsi="Times New Roman" w:cs="Times New Roman"/>
          <w:sz w:val="24"/>
        </w:rPr>
        <w:t>-intensive</w:t>
      </w:r>
      <w:proofErr w:type="spellEnd"/>
      <w:r>
        <w:rPr>
          <w:rFonts w:ascii="Times New Roman" w:eastAsia="Times New Roman" w:hAnsi="Times New Roman" w:cs="Times New Roman"/>
          <w:sz w:val="24"/>
        </w:rPr>
        <w:t xml:space="preserve"> process. Moreover, both cross-sectional and panel data analyses are vulnerable to bias resulting from non-representative sampling techniques, which can lead to incomplete or skewed representations of the population. For instance, the New Jersey </w:t>
      </w:r>
      <w:r>
        <w:rPr>
          <w:rFonts w:ascii="Times New Roman" w:eastAsia="Times New Roman" w:hAnsi="Times New Roman" w:cs="Times New Roman"/>
          <w:sz w:val="24"/>
        </w:rPr>
        <w:t>negative income tax experiment deliberately excluded households with incomes exceeding 1.5 times the poverty level, thereby introducing truncation bias and limiting the sample's generalizability to the broader population. This selective sampling approach c</w:t>
      </w:r>
      <w:r>
        <w:rPr>
          <w:rFonts w:ascii="Times New Roman" w:eastAsia="Times New Roman" w:hAnsi="Times New Roman" w:cs="Times New Roman"/>
          <w:sz w:val="24"/>
        </w:rPr>
        <w:t xml:space="preserve">an lead to incomplete or inaccurate conclusions, highlighting the importance of careful sample selection and bias mitigation strategies in research design. This truncation can introduce selection bias when examining earnings components like wages or hours </w:t>
      </w:r>
      <w:r>
        <w:rPr>
          <w:rFonts w:ascii="Times New Roman" w:eastAsia="Times New Roman" w:hAnsi="Times New Roman" w:cs="Times New Roman"/>
          <w:sz w:val="24"/>
        </w:rPr>
        <w:t>as dependent variables (as noted in Haussmann and Wise, 1977). This bias can lead to inaccurate conclusions if left unaddressed.</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Panel data analysis requires careful attention to data collection, cleaning, model specification, robustness checks, and inte</w:t>
      </w:r>
      <w:r>
        <w:rPr>
          <w:rFonts w:ascii="Times New Roman" w:eastAsia="Times New Roman" w:hAnsi="Times New Roman" w:cs="Times New Roman"/>
          <w:sz w:val="24"/>
        </w:rPr>
        <w:t xml:space="preserve">rpretation of results. To achieve a more complete understanding of the topic, it is advantageous to combine panel data analysis with additional empirical methods and data sources. This multi-faceted approach allows for triangulation of findings, increases </w:t>
      </w:r>
      <w:r>
        <w:rPr>
          <w:rFonts w:ascii="Times New Roman" w:eastAsia="Times New Roman" w:hAnsi="Times New Roman" w:cs="Times New Roman"/>
          <w:sz w:val="24"/>
        </w:rPr>
        <w:t>the reliability of conclusions, and provides a more nuanced understanding of the research question. By integrating different perspectives and data sources, researchers can gain a more comprehensive insight into the topic and mitigate the limitations of rel</w:t>
      </w:r>
      <w:r>
        <w:rPr>
          <w:rFonts w:ascii="Times New Roman" w:eastAsia="Times New Roman" w:hAnsi="Times New Roman" w:cs="Times New Roman"/>
          <w:sz w:val="24"/>
        </w:rPr>
        <w:t xml:space="preserve">ying on a single </w:t>
      </w:r>
      <w:proofErr w:type="spellStart"/>
      <w:r>
        <w:rPr>
          <w:rFonts w:ascii="Times New Roman" w:eastAsia="Times New Roman" w:hAnsi="Times New Roman" w:cs="Times New Roman"/>
          <w:sz w:val="24"/>
        </w:rPr>
        <w:t>approachImproving</w:t>
      </w:r>
      <w:proofErr w:type="spellEnd"/>
      <w:r>
        <w:rPr>
          <w:rFonts w:ascii="Times New Roman" w:eastAsia="Times New Roman" w:hAnsi="Times New Roman" w:cs="Times New Roman"/>
          <w:sz w:val="24"/>
        </w:rPr>
        <w:t xml:space="preserve"> the accuracy of model parameter inference is also important.</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The fixed effects model is a widely employed approach in panel data analysis, designed to mitigate the impact of unobserved, time-invariant individual characte</w:t>
      </w:r>
      <w:r>
        <w:rPr>
          <w:rFonts w:ascii="Times New Roman" w:eastAsia="Times New Roman" w:hAnsi="Times New Roman" w:cs="Times New Roman"/>
          <w:sz w:val="24"/>
        </w:rPr>
        <w:t>ristics that can lead to biased and correlated estimates in regression analysis. By incorporating dummy variables specific to each unit into the regression equation, the fixed effects model effectively controls for individual-specific traits, thereby accou</w:t>
      </w:r>
      <w:r>
        <w:rPr>
          <w:rFonts w:ascii="Times New Roman" w:eastAsia="Times New Roman" w:hAnsi="Times New Roman" w:cs="Times New Roman"/>
          <w:sz w:val="24"/>
        </w:rPr>
        <w:t xml:space="preserve">nting for latent factors that may influence the outcome variable. This approach enables researchers to isolate the effects of interest while minimizing the risk of biased estimates arising from unobserved heterogeneity. These dummy variables control </w:t>
      </w:r>
      <w:r>
        <w:rPr>
          <w:rFonts w:ascii="Times New Roman" w:eastAsia="Times New Roman" w:hAnsi="Times New Roman" w:cs="Times New Roman"/>
          <w:sz w:val="24"/>
        </w:rPr>
        <w:lastRenderedPageBreak/>
        <w:t>for co</w:t>
      </w:r>
      <w:r>
        <w:rPr>
          <w:rFonts w:ascii="Times New Roman" w:eastAsia="Times New Roman" w:hAnsi="Times New Roman" w:cs="Times New Roman"/>
          <w:sz w:val="24"/>
        </w:rPr>
        <w:t xml:space="preserve">nstant individual heterogeneity that is unique to each observational unit. Their inclusion permits the isolation and estimation of how the independent variables vary over time while filtering out time-invariant traits inherent to each subject. In essence, </w:t>
      </w:r>
      <w:r>
        <w:rPr>
          <w:rFonts w:ascii="Times New Roman" w:eastAsia="Times New Roman" w:hAnsi="Times New Roman" w:cs="Times New Roman"/>
          <w:sz w:val="24"/>
        </w:rPr>
        <w:t>the fixed effects model removes bias from omitted variables that remain constant over the period of observation through the use of individual dummy variables. This enables reliable analysis of how the dependent variable responds to changes in predictor var</w:t>
      </w:r>
      <w:r>
        <w:rPr>
          <w:rFonts w:ascii="Times New Roman" w:eastAsia="Times New Roman" w:hAnsi="Times New Roman" w:cs="Times New Roman"/>
          <w:sz w:val="24"/>
        </w:rPr>
        <w:t>iables after controlling for stable individual-level attributes. This approach provides unbiased estimates for the effects of independent variables, even when there is a correlation with unobserved individual effects. It also controls for time-invariant co</w:t>
      </w:r>
      <w:r>
        <w:rPr>
          <w:rFonts w:ascii="Times New Roman" w:eastAsia="Times New Roman" w:hAnsi="Times New Roman" w:cs="Times New Roman"/>
          <w:sz w:val="24"/>
        </w:rPr>
        <w:t>nfounding factors.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To address </w:t>
      </w:r>
      <w:proofErr w:type="spellStart"/>
      <w:r>
        <w:rPr>
          <w:rFonts w:ascii="Times New Roman" w:eastAsia="Times New Roman" w:hAnsi="Times New Roman" w:cs="Times New Roman"/>
          <w:sz w:val="24"/>
        </w:rPr>
        <w:t>Heteroskedasticity</w:t>
      </w:r>
      <w:proofErr w:type="spellEnd"/>
      <w:r>
        <w:rPr>
          <w:rFonts w:ascii="Times New Roman" w:eastAsia="Times New Roman" w:hAnsi="Times New Roman" w:cs="Times New Roman"/>
          <w:sz w:val="24"/>
        </w:rPr>
        <w:t xml:space="preserve"> in panel data, generalized least squares (GLS) can be used. GLS extends Ordinary Least Squares (OLS) by considering the covariance structure of error terms. It provides more efficient estimates by weighting observations based </w:t>
      </w:r>
      <w:r>
        <w:rPr>
          <w:rFonts w:ascii="Times New Roman" w:eastAsia="Times New Roman" w:hAnsi="Times New Roman" w:cs="Times New Roman"/>
          <w:sz w:val="24"/>
        </w:rPr>
        <w:t xml:space="preserve">on the estimated </w:t>
      </w:r>
      <w:proofErr w:type="spellStart"/>
      <w:r>
        <w:rPr>
          <w:rFonts w:ascii="Times New Roman" w:eastAsia="Times New Roman" w:hAnsi="Times New Roman" w:cs="Times New Roman"/>
          <w:sz w:val="24"/>
        </w:rPr>
        <w:t>Heteroskedasticity</w:t>
      </w:r>
      <w:proofErr w:type="spellEnd"/>
      <w:r>
        <w:rPr>
          <w:rFonts w:ascii="Times New Roman" w:eastAsia="Times New Roman" w:hAnsi="Times New Roman" w:cs="Times New Roman"/>
          <w:sz w:val="24"/>
        </w:rPr>
        <w:t xml:space="preserve"> structure. GLS involves transforming the regression equation by using inverse square root weighting matrices derived from the estimated variance-co-variance matrix of error terms. This adjustment accounts for </w:t>
      </w:r>
      <w:proofErr w:type="spellStart"/>
      <w:r>
        <w:rPr>
          <w:rFonts w:ascii="Times New Roman" w:eastAsia="Times New Roman" w:hAnsi="Times New Roman" w:cs="Times New Roman"/>
          <w:sz w:val="24"/>
        </w:rPr>
        <w:t>Heteroskeda</w:t>
      </w:r>
      <w:r>
        <w:rPr>
          <w:rFonts w:ascii="Times New Roman" w:eastAsia="Times New Roman" w:hAnsi="Times New Roman" w:cs="Times New Roman"/>
          <w:sz w:val="24"/>
        </w:rPr>
        <w:t>sticity</w:t>
      </w:r>
      <w:proofErr w:type="spellEnd"/>
      <w:r>
        <w:rPr>
          <w:rFonts w:ascii="Times New Roman" w:eastAsia="Times New Roman" w:hAnsi="Times New Roman" w:cs="Times New Roman"/>
          <w:sz w:val="24"/>
        </w:rPr>
        <w:t xml:space="preserve"> and improves the accuracy of estimates compared to OLS.</w:t>
      </w:r>
    </w:p>
    <w:p w:rsidR="00DF0840" w:rsidRDefault="00B3023B">
      <w:pPr>
        <w:keepNext/>
        <w:keepLines/>
        <w:spacing w:before="160" w:after="12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3.2.0 Data source</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Both secondary and primary sources of data informed this study. Secondary data was gleaned from respected organizations like the World Bank and IMF, as well as academic rese</w:t>
      </w:r>
      <w:r>
        <w:rPr>
          <w:rFonts w:ascii="Times New Roman" w:eastAsia="Times New Roman" w:hAnsi="Times New Roman" w:cs="Times New Roman"/>
          <w:sz w:val="24"/>
        </w:rPr>
        <w:t>arch published in peer-reviewed publications. This provided existing information and statistics to establish the background context, ECBC Case Studies, Socio-Economic Review, and the Journal of African Development. This data was collected from published re</w:t>
      </w:r>
      <w:r>
        <w:rPr>
          <w:rFonts w:ascii="Times New Roman" w:eastAsia="Times New Roman" w:hAnsi="Times New Roman" w:cs="Times New Roman"/>
          <w:sz w:val="24"/>
        </w:rPr>
        <w:t>ports and records. In addition to secondary data, primary data was also collected for the study. The researchers gathered their own data through surveys, interviews, or other direct sources. Collecting primary data enabled a detailed examination of monetar</w:t>
      </w:r>
      <w:r>
        <w:rPr>
          <w:rFonts w:ascii="Times New Roman" w:eastAsia="Times New Roman" w:hAnsi="Times New Roman" w:cs="Times New Roman"/>
          <w:sz w:val="24"/>
        </w:rPr>
        <w:t xml:space="preserve">y policy's effect on financial stability in sub-Saharan Africa over 15 years (2009-2023), providing a robust foundation for </w:t>
      </w:r>
      <w:proofErr w:type="spellStart"/>
      <w:r>
        <w:rPr>
          <w:rFonts w:ascii="Times New Roman" w:eastAsia="Times New Roman" w:hAnsi="Times New Roman" w:cs="Times New Roman"/>
          <w:sz w:val="24"/>
        </w:rPr>
        <w:t>analysing</w:t>
      </w:r>
      <w:proofErr w:type="spellEnd"/>
      <w:r>
        <w:rPr>
          <w:rFonts w:ascii="Times New Roman" w:eastAsia="Times New Roman" w:hAnsi="Times New Roman" w:cs="Times New Roman"/>
          <w:sz w:val="24"/>
        </w:rPr>
        <w:t xml:space="preserve"> this relationship through panel data research.</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3.3. Model Specification</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This research is theoretically anchored in the principles of the Quantity Theory of Money (QTM) and Modern Money Theory. The QTM, as seminal work by Friedman and Schwartz (1963) posits, proposes a direct correlation between the money supply and inflation, </w:t>
      </w:r>
      <w:r>
        <w:rPr>
          <w:rFonts w:ascii="Times New Roman" w:eastAsia="Times New Roman" w:hAnsi="Times New Roman" w:cs="Times New Roman"/>
          <w:sz w:val="24"/>
        </w:rPr>
        <w:t>where modifications in the money supply lead to corresponding and proportional changes in inflation. The nominal money supply in an economy is influenced by the distinct features of its monetary framework, including factors such as the money creation proce</w:t>
      </w:r>
      <w:r>
        <w:rPr>
          <w:rFonts w:ascii="Times New Roman" w:eastAsia="Times New Roman" w:hAnsi="Times New Roman" w:cs="Times New Roman"/>
          <w:sz w:val="24"/>
        </w:rPr>
        <w:t>ss, the role of central banks, and the banking system's structure, which collectively shape the money supply and its impact on inflation.</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1. High-powered money (HPM): This comprises physical coins (specie) and notes issued by central banks, used as curre</w:t>
      </w:r>
      <w:r>
        <w:rPr>
          <w:rFonts w:ascii="Times New Roman" w:eastAsia="Times New Roman" w:hAnsi="Times New Roman" w:cs="Times New Roman"/>
          <w:sz w:val="24"/>
        </w:rPr>
        <w:t>ncy or held as reserves by commercial banks.</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2. Bank deposit-reserve ratio: This ratio indicates the proportion of deposits held by banks relative to their reserve holdings, reflecting their lending and liquidity preferences.</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3. Public deposit-currency r</w:t>
      </w:r>
      <w:r>
        <w:rPr>
          <w:rFonts w:ascii="Times New Roman" w:eastAsia="Times New Roman" w:hAnsi="Times New Roman" w:cs="Times New Roman"/>
          <w:sz w:val="24"/>
        </w:rPr>
        <w:t>atio: This ratio represents the proportion of deposits held by the public compared to their holdings of physical currency, indicating their preference for liquid assets.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This theoretical framework posits that money is perceived as a valuable asset, and its</w:t>
      </w:r>
      <w:r>
        <w:rPr>
          <w:rFonts w:ascii="Times New Roman" w:eastAsia="Times New Roman" w:hAnsi="Times New Roman" w:cs="Times New Roman"/>
          <w:sz w:val="24"/>
        </w:rPr>
        <w:t xml:space="preserve"> demand is driven by considerations of wealth and capital. As evident in Fisher's work, the level of inflation is directly linked to the amount of money in circulation, assuming a stable rate of money exchange within the economy, where the velocity of mone</w:t>
      </w:r>
      <w:r>
        <w:rPr>
          <w:rFonts w:ascii="Times New Roman" w:eastAsia="Times New Roman" w:hAnsi="Times New Roman" w:cs="Times New Roman"/>
          <w:sz w:val="24"/>
        </w:rPr>
        <w:t>y remains constant. This underscores the critical connection between money supply and inflation, implying that fluctuations in money supply can have a profound impact on inflation rates. In essence, the theory suggests that managing money supply is crucial</w:t>
      </w:r>
      <w:r>
        <w:rPr>
          <w:rFonts w:ascii="Times New Roman" w:eastAsia="Times New Roman" w:hAnsi="Times New Roman" w:cs="Times New Roman"/>
          <w:sz w:val="24"/>
        </w:rPr>
        <w:t xml:space="preserve"> to controlling inflation.</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This study integrates perspectives from both the Quantity Theory of Money (QTM) and Modern Money Theory (MMT), yielding a comprehensive understanding of the monetary system. The QTM proposes that changes in the money supply have </w:t>
      </w:r>
      <w:r>
        <w:rPr>
          <w:rFonts w:ascii="Times New Roman" w:eastAsia="Times New Roman" w:hAnsi="Times New Roman" w:cs="Times New Roman"/>
          <w:sz w:val="24"/>
        </w:rPr>
        <w:t xml:space="preserve">a direct bearing on inflation, with the nominal money supply being shaped by the specific features of the monetary framework. By conceptualizing money as a valuable asset, the theory posits a strong link between the amount of </w:t>
      </w:r>
      <w:r>
        <w:rPr>
          <w:rFonts w:ascii="Times New Roman" w:eastAsia="Times New Roman" w:hAnsi="Times New Roman" w:cs="Times New Roman"/>
          <w:sz w:val="24"/>
        </w:rPr>
        <w:lastRenderedPageBreak/>
        <w:t>money in circulation and infla</w:t>
      </w:r>
      <w:r>
        <w:rPr>
          <w:rFonts w:ascii="Times New Roman" w:eastAsia="Times New Roman" w:hAnsi="Times New Roman" w:cs="Times New Roman"/>
          <w:sz w:val="24"/>
        </w:rPr>
        <w:t>tion levels, assuming a stable velocity of money. This integrated framework offers a robust foundation for analyzing the intricate relationships between money supply, inflation, and the monetary system, providing valuable insights into the dynamics of thes</w:t>
      </w:r>
      <w:r>
        <w:rPr>
          <w:rFonts w:ascii="Times New Roman" w:eastAsia="Times New Roman" w:hAnsi="Times New Roman" w:cs="Times New Roman"/>
          <w:sz w:val="24"/>
        </w:rPr>
        <w:t>e economic variables.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MMT posits that nations which control their own currencies, such as Zimbabwe, South Africa, Zambia, Lesotho and Mozambique, have flexibility to raise the money supply to enable greater government spending. This expansion of the money</w:t>
      </w:r>
      <w:r>
        <w:rPr>
          <w:rFonts w:ascii="Times New Roman" w:eastAsia="Times New Roman" w:hAnsi="Times New Roman" w:cs="Times New Roman"/>
          <w:sz w:val="24"/>
        </w:rPr>
        <w:t xml:space="preserve"> supply typically leads to lower interest rates according to MMT principles. Furthermore, MMT frames monetary policy as operating through the monetary policy transmission mechanism. This transmission mechanism consists of two channels: non-neoclassical cha</w:t>
      </w:r>
      <w:r>
        <w:rPr>
          <w:rFonts w:ascii="Times New Roman" w:eastAsia="Times New Roman" w:hAnsi="Times New Roman" w:cs="Times New Roman"/>
          <w:sz w:val="24"/>
        </w:rPr>
        <w:t>nnels which focus on credit availability and balance sheets; and neoclassical interest rate channels which influence demand through cost of capital adjustments. The theory also underscores the capacity of interest rate manipulation to impact financial stab</w:t>
      </w:r>
      <w:r>
        <w:rPr>
          <w:rFonts w:ascii="Times New Roman" w:eastAsia="Times New Roman" w:hAnsi="Times New Roman" w:cs="Times New Roman"/>
          <w:sz w:val="24"/>
        </w:rPr>
        <w:t>ility. According to MMT, increasing the money supply can induce depreciation of the exchange rate through portfolio shifts and inflationary impacts on trade</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i/>
          <w:sz w:val="24"/>
        </w:rPr>
        <w:t>FS=f (MS, BNPL, IR, PS, INFL, GDPD, FDI)</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variables are denoted as follows: financial stability</w:t>
      </w:r>
      <w:r>
        <w:rPr>
          <w:rFonts w:ascii="Times New Roman" w:eastAsia="Times New Roman" w:hAnsi="Times New Roman" w:cs="Times New Roman"/>
          <w:sz w:val="24"/>
        </w:rPr>
        <w:t xml:space="preserve"> (FS), money supply (MS), interest rates (IR), exchange rate (EX), inflation level (INFL), gross domestic product deflator (GDPD), and foreign direct investment (FDI).</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theoretical foundation laid out above serves as a springboard for developing a comp</w:t>
      </w:r>
      <w:r>
        <w:rPr>
          <w:rFonts w:ascii="Times New Roman" w:eastAsia="Times New Roman" w:hAnsi="Times New Roman" w:cs="Times New Roman"/>
          <w:sz w:val="24"/>
        </w:rPr>
        <w:t>rehensive empirical model that delves into the effects of monetary policy on financial sector stability in Sub-Saharan Africa. This model builds upon the foundations of the Quantity Theory of Money (QTM) and Modern Money Theory (MMT), incorporating additio</w:t>
      </w:r>
      <w:r>
        <w:rPr>
          <w:rFonts w:ascii="Times New Roman" w:eastAsia="Times New Roman" w:hAnsi="Times New Roman" w:cs="Times New Roman"/>
          <w:sz w:val="24"/>
        </w:rPr>
        <w:t>nal variables to investigate the complex relationship between monetary policy and financial sector stability in the region. By applying this robust empirical model, researchers can conduct an in-depth examination and analysis of the specific impacts of mon</w:t>
      </w:r>
      <w:r>
        <w:rPr>
          <w:rFonts w:ascii="Times New Roman" w:eastAsia="Times New Roman" w:hAnsi="Times New Roman" w:cs="Times New Roman"/>
          <w:sz w:val="24"/>
        </w:rPr>
        <w:t>etary policy on financial sector stability, providing actionable insights and valuable recommendations for policymakers and stakeholders to promote financial stability and resilience in Sub-Saharan Africa.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Y=B0 + B1IR + B2EX + B3INFL + B4GDPD + B5FDI + B6</w:t>
      </w:r>
      <w:r>
        <w:rPr>
          <w:rFonts w:ascii="Times New Roman" w:eastAsia="Times New Roman" w:hAnsi="Times New Roman" w:cs="Times New Roman"/>
          <w:sz w:val="24"/>
        </w:rPr>
        <w:t>MS + U</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Where Y is the dependent variable. Bank non-performing loan</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BO is the intercept of the equation.</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B1 is the slope or gradient of the equation.</w:t>
      </w:r>
    </w:p>
    <w:p w:rsidR="00DF0840" w:rsidRDefault="00B3023B">
      <w:pPr>
        <w:keepNext/>
        <w:keepLines/>
        <w:spacing w:before="160" w:after="12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3.4. Definition and Justification of Variables </w:t>
      </w:r>
    </w:p>
    <w:p w:rsidR="00DF0840" w:rsidRDefault="00DF0840">
      <w:pPr>
        <w:spacing w:after="0" w:line="360" w:lineRule="auto"/>
        <w:jc w:val="both"/>
        <w:rPr>
          <w:rFonts w:ascii="Times New Roman" w:eastAsia="Times New Roman" w:hAnsi="Times New Roman" w:cs="Times New Roman"/>
          <w:b/>
          <w:sz w:val="24"/>
        </w:rPr>
      </w:pPr>
    </w:p>
    <w:p w:rsidR="00DF0840" w:rsidRDefault="00B3023B">
      <w:pPr>
        <w:keepNext/>
        <w:keepLines/>
        <w:spacing w:before="160" w:after="12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3.5.0Dependent Variables</w:t>
      </w:r>
    </w:p>
    <w:p w:rsidR="00DF0840" w:rsidRDefault="00DF0840">
      <w:pPr>
        <w:spacing w:after="0" w:line="360" w:lineRule="auto"/>
        <w:jc w:val="both"/>
        <w:rPr>
          <w:rFonts w:ascii="Times New Roman" w:eastAsia="Times New Roman" w:hAnsi="Times New Roman" w:cs="Times New Roman"/>
          <w:b/>
          <w:sz w:val="24"/>
        </w:rPr>
      </w:pPr>
    </w:p>
    <w:p w:rsidR="00DF0840" w:rsidRDefault="00B3023B">
      <w:pPr>
        <w:keepNext/>
        <w:keepLines/>
        <w:spacing w:before="400" w:after="36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3.5.1 Bank Non-Performing Loan</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According to </w:t>
      </w:r>
      <w:proofErr w:type="spellStart"/>
      <w:r>
        <w:rPr>
          <w:rFonts w:ascii="Times New Roman" w:eastAsia="Times New Roman" w:hAnsi="Times New Roman" w:cs="Times New Roman"/>
          <w:sz w:val="24"/>
        </w:rPr>
        <w:t>Nkusu</w:t>
      </w:r>
      <w:proofErr w:type="spellEnd"/>
      <w:r>
        <w:rPr>
          <w:rFonts w:ascii="Times New Roman" w:eastAsia="Times New Roman" w:hAnsi="Times New Roman" w:cs="Times New Roman"/>
          <w:sz w:val="24"/>
        </w:rPr>
        <w:t xml:space="preserve"> (2011), non-performing loans are defined as loans with overdue interest and principal payments exceeding 90 days or re-financed interest equivalent to over 90 days. These loans pose a significant risk to b</w:t>
      </w:r>
      <w:r>
        <w:rPr>
          <w:rFonts w:ascii="Times New Roman" w:eastAsia="Times New Roman" w:hAnsi="Times New Roman" w:cs="Times New Roman"/>
          <w:sz w:val="24"/>
        </w:rPr>
        <w:t>anks' sustainability, asset quality, and profitability. Banking regulations require provisions for non-performing loans, impacting income and loan portfolios. Given the concerns about rising public debt in Sub-Saharan Africa and the dominance of public sec</w:t>
      </w:r>
      <w:r>
        <w:rPr>
          <w:rFonts w:ascii="Times New Roman" w:eastAsia="Times New Roman" w:hAnsi="Times New Roman" w:cs="Times New Roman"/>
          <w:sz w:val="24"/>
        </w:rPr>
        <w:t>tor credit over private sector credit, it's essential to investigate the impact of public debt on non-performing loans. Fragile public finances can lead to increased non-performing loans, threatening financial stability. Non-performing loans can serve as a</w:t>
      </w:r>
      <w:r>
        <w:rPr>
          <w:rFonts w:ascii="Times New Roman" w:eastAsia="Times New Roman" w:hAnsi="Times New Roman" w:cs="Times New Roman"/>
          <w:sz w:val="24"/>
        </w:rPr>
        <w:t xml:space="preserve">n early warning sign for banking crises (Reinhart and </w:t>
      </w:r>
      <w:proofErr w:type="spellStart"/>
      <w:r>
        <w:rPr>
          <w:rFonts w:ascii="Times New Roman" w:eastAsia="Times New Roman" w:hAnsi="Times New Roman" w:cs="Times New Roman"/>
          <w:sz w:val="24"/>
        </w:rPr>
        <w:t>Rogoff</w:t>
      </w:r>
      <w:proofErr w:type="spellEnd"/>
      <w:r>
        <w:rPr>
          <w:rFonts w:ascii="Times New Roman" w:eastAsia="Times New Roman" w:hAnsi="Times New Roman" w:cs="Times New Roman"/>
          <w:sz w:val="24"/>
        </w:rPr>
        <w:t xml:space="preserve">, 2011). African banks' lending </w:t>
      </w:r>
      <w:proofErr w:type="spellStart"/>
      <w:r>
        <w:rPr>
          <w:rFonts w:ascii="Times New Roman" w:eastAsia="Times New Roman" w:hAnsi="Times New Roman" w:cs="Times New Roman"/>
          <w:sz w:val="24"/>
        </w:rPr>
        <w:t>behaviour</w:t>
      </w:r>
      <w:proofErr w:type="spellEnd"/>
      <w:r>
        <w:rPr>
          <w:rFonts w:ascii="Times New Roman" w:eastAsia="Times New Roman" w:hAnsi="Times New Roman" w:cs="Times New Roman"/>
          <w:sz w:val="24"/>
        </w:rPr>
        <w:t xml:space="preserve"> varies due to differences in borrower information quality (</w:t>
      </w:r>
      <w:proofErr w:type="spellStart"/>
      <w:r>
        <w:rPr>
          <w:rFonts w:ascii="Times New Roman" w:eastAsia="Times New Roman" w:hAnsi="Times New Roman" w:cs="Times New Roman"/>
          <w:sz w:val="24"/>
        </w:rPr>
        <w:t>Andrianova</w:t>
      </w:r>
      <w:proofErr w:type="spellEnd"/>
      <w:r>
        <w:rPr>
          <w:rFonts w:ascii="Times New Roman" w:eastAsia="Times New Roman" w:hAnsi="Times New Roman" w:cs="Times New Roman"/>
          <w:sz w:val="24"/>
        </w:rPr>
        <w:t xml:space="preserve"> et al., 2015). </w:t>
      </w:r>
      <w:proofErr w:type="spellStart"/>
      <w:r>
        <w:rPr>
          <w:rFonts w:ascii="Times New Roman" w:eastAsia="Times New Roman" w:hAnsi="Times New Roman" w:cs="Times New Roman"/>
          <w:sz w:val="24"/>
        </w:rPr>
        <w:t>Asantey</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Tengey</w:t>
      </w:r>
      <w:proofErr w:type="spellEnd"/>
      <w:r>
        <w:rPr>
          <w:rFonts w:ascii="Times New Roman" w:eastAsia="Times New Roman" w:hAnsi="Times New Roman" w:cs="Times New Roman"/>
          <w:sz w:val="24"/>
        </w:rPr>
        <w:t xml:space="preserve"> (2014) emphasize the need for banks to mitigate ba</w:t>
      </w:r>
      <w:r>
        <w:rPr>
          <w:rFonts w:ascii="Times New Roman" w:eastAsia="Times New Roman" w:hAnsi="Times New Roman" w:cs="Times New Roman"/>
          <w:sz w:val="24"/>
        </w:rPr>
        <w:t>d loan risks to enhance financial performance and borrower access. This study focuses on non-performing loans due to their impact on monetary policy effectiveness and financial sector stability in the region.</w:t>
      </w:r>
    </w:p>
    <w:p w:rsidR="00DF0840" w:rsidRDefault="00B3023B">
      <w:pPr>
        <w:keepNext/>
        <w:keepLines/>
        <w:spacing w:before="400" w:after="36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3.5.2Independent Variables</w:t>
      </w:r>
    </w:p>
    <w:p w:rsidR="00DF0840" w:rsidRDefault="00B3023B">
      <w:pPr>
        <w:keepNext/>
        <w:keepLines/>
        <w:spacing w:before="400" w:after="36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3.5.3 Interest Rate</w:t>
      </w:r>
      <w:r>
        <w:rPr>
          <w:rFonts w:ascii="Times New Roman" w:eastAsia="Times New Roman" w:hAnsi="Times New Roman" w:cs="Times New Roman"/>
          <w:b/>
          <w:sz w:val="24"/>
        </w:rPr>
        <w:t>s</w:t>
      </w:r>
    </w:p>
    <w:p w:rsidR="00DF0840" w:rsidRDefault="00B3023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According to Faure (2014), Interest rates, as a key monetary policy tool, play a crucial role in shaping financial sector stability in Sub-Saharan Africa. By adjusting interest rates, central banks influence the cost of borrowing, which in turn affects c</w:t>
      </w:r>
      <w:r>
        <w:rPr>
          <w:rFonts w:ascii="Times New Roman" w:eastAsia="Times New Roman" w:hAnsi="Times New Roman" w:cs="Times New Roman"/>
          <w:sz w:val="24"/>
        </w:rPr>
        <w:t>redit demand, investment, and consumption. Lower interest rates can stimulate economic growth by increasing access to credit, but may also lead to asset price bubbles, excessive borrowing, and reduced savings, ultimately destabilizing the financial sector.</w:t>
      </w:r>
      <w:r>
        <w:rPr>
          <w:rFonts w:ascii="Times New Roman" w:eastAsia="Times New Roman" w:hAnsi="Times New Roman" w:cs="Times New Roman"/>
          <w:sz w:val="24"/>
        </w:rPr>
        <w:t xml:space="preserve"> Conversely, higher interest rates can attract foreign investment, reduce inflationary pressures, and strengthen financial institutions' balance sheets, but may also increase borrowing costs, reduce credit availability, and exacerbate debt distress. In Sub</w:t>
      </w:r>
      <w:r>
        <w:rPr>
          <w:rFonts w:ascii="Times New Roman" w:eastAsia="Times New Roman" w:hAnsi="Times New Roman" w:cs="Times New Roman"/>
          <w:sz w:val="24"/>
        </w:rPr>
        <w:t>-Saharan Africa, where financial systems are often characterized by shallow markets, high lending rates, and limited financial inclusion, the impact of interest rates on financial sector stability is particularly significant. This study examines the effect</w:t>
      </w:r>
      <w:r>
        <w:rPr>
          <w:rFonts w:ascii="Times New Roman" w:eastAsia="Times New Roman" w:hAnsi="Times New Roman" w:cs="Times New Roman"/>
          <w:sz w:val="24"/>
        </w:rPr>
        <w:t>s of interest rates on financial sector stability in the region, providing insights into the delicate balance between monetary policy, financial stability, and economic growth in Sub-Saharan Africa.</w:t>
      </w:r>
    </w:p>
    <w:p w:rsidR="00DF0840" w:rsidRDefault="00DF0840">
      <w:pPr>
        <w:spacing w:after="0" w:line="240" w:lineRule="auto"/>
        <w:jc w:val="right"/>
        <w:rPr>
          <w:rFonts w:ascii="Calibri" w:eastAsia="Calibri" w:hAnsi="Calibri" w:cs="Calibri"/>
        </w:rPr>
      </w:pPr>
    </w:p>
    <w:p w:rsidR="00DF0840" w:rsidRDefault="00B3023B">
      <w:pPr>
        <w:keepNext/>
        <w:keepLines/>
        <w:spacing w:before="400" w:after="36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3.5.5 Inflation</w:t>
      </w:r>
    </w:p>
    <w:p w:rsidR="00DF0840" w:rsidRDefault="00B3023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According to </w:t>
      </w:r>
      <w:proofErr w:type="spellStart"/>
      <w:r>
        <w:rPr>
          <w:rFonts w:ascii="Times New Roman" w:eastAsia="Times New Roman" w:hAnsi="Times New Roman" w:cs="Times New Roman"/>
          <w:sz w:val="24"/>
        </w:rPr>
        <w:t>Rothbard</w:t>
      </w:r>
      <w:proofErr w:type="spellEnd"/>
      <w:r>
        <w:rPr>
          <w:rFonts w:ascii="Times New Roman" w:eastAsia="Times New Roman" w:hAnsi="Times New Roman" w:cs="Times New Roman"/>
          <w:sz w:val="24"/>
        </w:rPr>
        <w:t xml:space="preserve"> (2008, inflation,</w:t>
      </w:r>
      <w:r>
        <w:rPr>
          <w:rFonts w:ascii="Times New Roman" w:eastAsia="Times New Roman" w:hAnsi="Times New Roman" w:cs="Times New Roman"/>
          <w:sz w:val="24"/>
        </w:rPr>
        <w:t xml:space="preserve"> measured as the annual percentage change in the Consumer Price Index (CPI), is a key independent variable in this analysis. As a measure of the rate at which prices for goods and services are rising, inflation has a profound impact on financial sector sta</w:t>
      </w:r>
      <w:r>
        <w:rPr>
          <w:rFonts w:ascii="Times New Roman" w:eastAsia="Times New Roman" w:hAnsi="Times New Roman" w:cs="Times New Roman"/>
          <w:sz w:val="24"/>
        </w:rPr>
        <w:t>bility in Sub-Saharan Africa. High inflation levels can erode the purchasing power of consumers, reduce the value of financial assets, and increase the risk of default, ultimately destabilizing the financial sector. Furthermore, inflation can also influenc</w:t>
      </w:r>
      <w:r>
        <w:rPr>
          <w:rFonts w:ascii="Times New Roman" w:eastAsia="Times New Roman" w:hAnsi="Times New Roman" w:cs="Times New Roman"/>
          <w:sz w:val="24"/>
        </w:rPr>
        <w:t>e the effectiveness of monetary policy, as high inflation may require tighter monetary policy stance, which can have unintended consequences on financial stability. By including inflation as an independent variable, this study aims to examine the relations</w:t>
      </w:r>
      <w:r>
        <w:rPr>
          <w:rFonts w:ascii="Times New Roman" w:eastAsia="Times New Roman" w:hAnsi="Times New Roman" w:cs="Times New Roman"/>
          <w:sz w:val="24"/>
        </w:rPr>
        <w:t xml:space="preserve">hip between inflation and financial sector stability in Sub-Saharan Africa, and how monetary policy decisions influence this </w:t>
      </w:r>
      <w:r>
        <w:rPr>
          <w:rFonts w:ascii="Times New Roman" w:eastAsia="Times New Roman" w:hAnsi="Times New Roman" w:cs="Times New Roman"/>
          <w:sz w:val="24"/>
        </w:rPr>
        <w:lastRenderedPageBreak/>
        <w:t>relationship, providing insights into the complex interplay between price stability, financial stability, and monetary policy in th</w:t>
      </w:r>
      <w:r>
        <w:rPr>
          <w:rFonts w:ascii="Times New Roman" w:eastAsia="Times New Roman" w:hAnsi="Times New Roman" w:cs="Times New Roman"/>
          <w:sz w:val="24"/>
        </w:rPr>
        <w:t>e region.</w:t>
      </w:r>
    </w:p>
    <w:p w:rsidR="00DF0840" w:rsidRDefault="00DF0840">
      <w:pPr>
        <w:spacing w:after="0" w:line="240" w:lineRule="auto"/>
        <w:rPr>
          <w:rFonts w:ascii="Calibri" w:eastAsia="Calibri" w:hAnsi="Calibri" w:cs="Calibri"/>
        </w:rPr>
      </w:pPr>
    </w:p>
    <w:p w:rsidR="00DF0840" w:rsidRDefault="00B3023B">
      <w:pPr>
        <w:keepNext/>
        <w:keepLines/>
        <w:spacing w:before="400" w:after="36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3.5.6 Political stability</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Political stability alludes to the state of a country's political system and its ability to maintain a peaceful environment, uphold the rule of law, and ensure the continuity of government policies without significant disruptions or conflicts.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Political s</w:t>
      </w:r>
      <w:r>
        <w:rPr>
          <w:rFonts w:ascii="Times New Roman" w:eastAsia="Times New Roman" w:hAnsi="Times New Roman" w:cs="Times New Roman"/>
          <w:sz w:val="24"/>
        </w:rPr>
        <w:t xml:space="preserve">tability is an important factor to consider because it can potentially lead to profound ramifications on a country's financial sector. A stable political environment provides a conducive setting for the implementation of effective monetary policies, which </w:t>
      </w:r>
      <w:r>
        <w:rPr>
          <w:rFonts w:ascii="Times New Roman" w:eastAsia="Times New Roman" w:hAnsi="Times New Roman" w:cs="Times New Roman"/>
          <w:sz w:val="24"/>
        </w:rPr>
        <w:t>play a crucial role in maintaining financial sector stability. It allows policymakers to formulate and execute monetary measures consistently and predictably, thereby fostering investor confidence and reducing uncertainties in the financial markets.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Resea</w:t>
      </w:r>
      <w:r>
        <w:rPr>
          <w:rFonts w:ascii="Times New Roman" w:eastAsia="Times New Roman" w:hAnsi="Times New Roman" w:cs="Times New Roman"/>
          <w:sz w:val="24"/>
        </w:rPr>
        <w:t xml:space="preserve">rch conducted by </w:t>
      </w:r>
      <w:proofErr w:type="spellStart"/>
      <w:r>
        <w:rPr>
          <w:rFonts w:ascii="Times New Roman" w:eastAsia="Times New Roman" w:hAnsi="Times New Roman" w:cs="Times New Roman"/>
          <w:sz w:val="24"/>
        </w:rPr>
        <w:t>Simatele</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Sjöholm</w:t>
      </w:r>
      <w:proofErr w:type="spellEnd"/>
      <w:r>
        <w:rPr>
          <w:rFonts w:ascii="Times New Roman" w:eastAsia="Times New Roman" w:hAnsi="Times New Roman" w:cs="Times New Roman"/>
          <w:sz w:val="24"/>
        </w:rPr>
        <w:t xml:space="preserve"> (2020) supports the significance of political stability as an independent variable in the framework of Sub-Saharan Africa. They found that political stability positively influences financial sector </w:t>
      </w:r>
      <w:proofErr w:type="spellStart"/>
      <w:r>
        <w:rPr>
          <w:rFonts w:ascii="Times New Roman" w:eastAsia="Times New Roman" w:hAnsi="Times New Roman" w:cs="Times New Roman"/>
          <w:sz w:val="24"/>
        </w:rPr>
        <w:t>ssoundness</w:t>
      </w:r>
      <w:proofErr w:type="spellEnd"/>
      <w:r>
        <w:rPr>
          <w:rFonts w:ascii="Times New Roman" w:eastAsia="Times New Roman" w:hAnsi="Times New Roman" w:cs="Times New Roman"/>
          <w:sz w:val="24"/>
        </w:rPr>
        <w:t xml:space="preserve"> in the re</w:t>
      </w:r>
      <w:r>
        <w:rPr>
          <w:rFonts w:ascii="Times New Roman" w:eastAsia="Times New Roman" w:hAnsi="Times New Roman" w:cs="Times New Roman"/>
          <w:sz w:val="24"/>
        </w:rPr>
        <w:t>gion. The study highlights that a stable political climate helps create an enabling environment for central banks to implement sound monetary policies, which in turn contribute to the stability of financial institutions and markets.</w:t>
      </w:r>
    </w:p>
    <w:p w:rsidR="00DF0840" w:rsidRDefault="00B3023B">
      <w:pPr>
        <w:keepNext/>
        <w:keepLines/>
        <w:spacing w:before="400" w:after="36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3.5.7 GDP Deflator</w:t>
      </w:r>
    </w:p>
    <w:p w:rsidR="00DF0840" w:rsidRDefault="00B3023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GDP</w:t>
      </w:r>
      <w:r>
        <w:rPr>
          <w:rFonts w:ascii="Times New Roman" w:eastAsia="Times New Roman" w:hAnsi="Times New Roman" w:cs="Times New Roman"/>
          <w:sz w:val="24"/>
        </w:rPr>
        <w:t xml:space="preserve"> Deflator (GDPCD) is a measure of the overall price level of goods and services produced within an economy. As an independent variable in the analysis of the effects of monetary policy on financial sector stability in Sub-Saharan Africa, GDPCD could captur</w:t>
      </w:r>
      <w:r>
        <w:rPr>
          <w:rFonts w:ascii="Times New Roman" w:eastAsia="Times New Roman" w:hAnsi="Times New Roman" w:cs="Times New Roman"/>
          <w:sz w:val="24"/>
        </w:rPr>
        <w:t>e the impact of inflation on financial stability.</w:t>
      </w:r>
    </w:p>
    <w:p w:rsidR="00DF0840" w:rsidRDefault="00B3023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 high GDP Deflator value indicates high inflation, which can lead to:</w:t>
      </w:r>
    </w:p>
    <w:p w:rsidR="00DF0840" w:rsidRDefault="00B3023B">
      <w:pPr>
        <w:numPr>
          <w:ilvl w:val="0"/>
          <w:numId w:val="17"/>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Reduced purchasing power</w:t>
      </w:r>
    </w:p>
    <w:p w:rsidR="00DF0840" w:rsidRDefault="00B3023B">
      <w:pPr>
        <w:numPr>
          <w:ilvl w:val="0"/>
          <w:numId w:val="17"/>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Uncertainty for investors</w:t>
      </w:r>
    </w:p>
    <w:p w:rsidR="00DF0840" w:rsidRDefault="00B3023B">
      <w:pPr>
        <w:numPr>
          <w:ilvl w:val="0"/>
          <w:numId w:val="17"/>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Decreased value of financial assets</w:t>
      </w:r>
    </w:p>
    <w:p w:rsidR="00DF0840" w:rsidRDefault="00B3023B">
      <w:pPr>
        <w:numPr>
          <w:ilvl w:val="0"/>
          <w:numId w:val="17"/>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lastRenderedPageBreak/>
        <w:t>Increased risk of default</w:t>
      </w:r>
    </w:p>
    <w:p w:rsidR="00DF0840" w:rsidRDefault="00B3023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Conversely, a low GDP Deflator value indicates low inflation or deflation, which can lead to:</w:t>
      </w:r>
    </w:p>
    <w:p w:rsidR="00DF0840" w:rsidRDefault="00B3023B">
      <w:pPr>
        <w:numPr>
          <w:ilvl w:val="0"/>
          <w:numId w:val="18"/>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Increased purchasing power</w:t>
      </w:r>
    </w:p>
    <w:p w:rsidR="00DF0840" w:rsidRDefault="00B3023B">
      <w:pPr>
        <w:numPr>
          <w:ilvl w:val="0"/>
          <w:numId w:val="18"/>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Improved investor confidence</w:t>
      </w:r>
    </w:p>
    <w:p w:rsidR="00DF0840" w:rsidRDefault="00B3023B">
      <w:pPr>
        <w:numPr>
          <w:ilvl w:val="0"/>
          <w:numId w:val="18"/>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Increased value of financial assets</w:t>
      </w:r>
    </w:p>
    <w:p w:rsidR="00DF0840" w:rsidRDefault="00B3023B">
      <w:pPr>
        <w:numPr>
          <w:ilvl w:val="0"/>
          <w:numId w:val="18"/>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Reduced risk of default</w:t>
      </w:r>
    </w:p>
    <w:p w:rsidR="00DF0840" w:rsidRDefault="00B3023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By including GDPCD as an independent variable,</w:t>
      </w:r>
      <w:r>
        <w:rPr>
          <w:rFonts w:ascii="Times New Roman" w:eastAsia="Times New Roman" w:hAnsi="Times New Roman" w:cs="Times New Roman"/>
          <w:sz w:val="24"/>
        </w:rPr>
        <w:t xml:space="preserve"> the analysis can examine how changes in the overall price level affect financial sector stability in Sub-Saharan Africa, and how monetary policy decisions influence this relationship.</w:t>
      </w:r>
    </w:p>
    <w:p w:rsidR="00DF0840" w:rsidRDefault="00DF0840">
      <w:pPr>
        <w:spacing w:after="0" w:line="240" w:lineRule="auto"/>
        <w:rPr>
          <w:rFonts w:ascii="Calibri" w:eastAsia="Calibri" w:hAnsi="Calibri" w:cs="Calibri"/>
        </w:rPr>
      </w:pPr>
    </w:p>
    <w:p w:rsidR="00DF0840" w:rsidRDefault="00DF0840">
      <w:pPr>
        <w:spacing w:after="0" w:line="360" w:lineRule="auto"/>
        <w:jc w:val="both"/>
        <w:rPr>
          <w:rFonts w:ascii="Times New Roman" w:eastAsia="Times New Roman" w:hAnsi="Times New Roman" w:cs="Times New Roman"/>
          <w:sz w:val="24"/>
        </w:rPr>
      </w:pPr>
    </w:p>
    <w:p w:rsidR="00DF0840" w:rsidRDefault="00B3023B">
      <w:pPr>
        <w:keepNext/>
        <w:keepLines/>
        <w:spacing w:before="400" w:after="36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3.5.8 Foreign Direct Investment</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In Sub-Saharan Africa, foreign indire</w:t>
      </w:r>
      <w:r>
        <w:rPr>
          <w:rFonts w:ascii="Times New Roman" w:eastAsia="Times New Roman" w:hAnsi="Times New Roman" w:cs="Times New Roman"/>
          <w:sz w:val="24"/>
        </w:rPr>
        <w:t>ct investment refers to investments made by foreign entities in the financial markets of countries within the region. These investments can take the form of purchases of stocks, bonds, or other financial instruments issued by companies or governments in Su</w:t>
      </w:r>
      <w:r>
        <w:rPr>
          <w:rFonts w:ascii="Times New Roman" w:eastAsia="Times New Roman" w:hAnsi="Times New Roman" w:cs="Times New Roman"/>
          <w:sz w:val="24"/>
        </w:rPr>
        <w:t>b-Saharan Africa. Foreign indirect investment can bring additional capital into the financial sectors of sub-Saharan African countries. This inflow of funds can support economic development, provide liquidity to financial markets, and assist to the solidit</w:t>
      </w:r>
      <w:r>
        <w:rPr>
          <w:rFonts w:ascii="Times New Roman" w:eastAsia="Times New Roman" w:hAnsi="Times New Roman" w:cs="Times New Roman"/>
          <w:sz w:val="24"/>
        </w:rPr>
        <w:t>y of the financial sector. It can also facilitate access to financing for local businesses and governments.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Sub-Saharan Africa is frequently vulnerable to external factors, including fluctuations in global financial markets and commodity prices, which ca</w:t>
      </w:r>
      <w:r>
        <w:rPr>
          <w:rFonts w:ascii="Times New Roman" w:eastAsia="Times New Roman" w:hAnsi="Times New Roman" w:cs="Times New Roman"/>
          <w:sz w:val="24"/>
        </w:rPr>
        <w:t>n significantly impact the region's economic stability. Monetary policy decisions, including changes in interest rates or exchange rates, can influence capital flows into and out of the region. Sudden shifts in these capital flows, driven by changes in mon</w:t>
      </w:r>
      <w:r>
        <w:rPr>
          <w:rFonts w:ascii="Times New Roman" w:eastAsia="Times New Roman" w:hAnsi="Times New Roman" w:cs="Times New Roman"/>
          <w:sz w:val="24"/>
        </w:rPr>
        <w:t>etary policy or external factors, can introduce volatility and pose challenges to financial sector stability. Foreign indirect investment in Sub-Saharan Africa is subject to exchange rate risk. Fluctuations in exchange rates can impact the value of foreign</w:t>
      </w:r>
      <w:r>
        <w:rPr>
          <w:rFonts w:ascii="Times New Roman" w:eastAsia="Times New Roman" w:hAnsi="Times New Roman" w:cs="Times New Roman"/>
          <w:sz w:val="24"/>
        </w:rPr>
        <w:t xml:space="preserve"> investments denominated in local currencies, influencing the returns on these investments and potentially affecting their profitability. Monetary policy actions, particularly those related to exchange rate management, can influence the value of domestic c</w:t>
      </w:r>
      <w:r>
        <w:rPr>
          <w:rFonts w:ascii="Times New Roman" w:eastAsia="Times New Roman" w:hAnsi="Times New Roman" w:cs="Times New Roman"/>
          <w:sz w:val="24"/>
        </w:rPr>
        <w:t xml:space="preserve">urrencies. Fluctuations in currency values can </w:t>
      </w:r>
      <w:r>
        <w:rPr>
          <w:rFonts w:ascii="Times New Roman" w:eastAsia="Times New Roman" w:hAnsi="Times New Roman" w:cs="Times New Roman"/>
          <w:sz w:val="24"/>
        </w:rPr>
        <w:lastRenderedPageBreak/>
        <w:t>impact the profitability and risk profile of foreign investments, potentially affecting financial sector stability. Foreign indirect investment can contribute to financial integration between Sub-Saharan Afric</w:t>
      </w:r>
      <w:r>
        <w:rPr>
          <w:rFonts w:ascii="Times New Roman" w:eastAsia="Times New Roman" w:hAnsi="Times New Roman" w:cs="Times New Roman"/>
          <w:sz w:val="24"/>
        </w:rPr>
        <w:t>an countries and the global financial system. This integration can bring benefits such as increased access to international capital markets and diversification of investment portfolios. However, it can also expose the region to spillover effects from globa</w:t>
      </w:r>
      <w:r>
        <w:rPr>
          <w:rFonts w:ascii="Times New Roman" w:eastAsia="Times New Roman" w:hAnsi="Times New Roman" w:cs="Times New Roman"/>
          <w:sz w:val="24"/>
        </w:rPr>
        <w:t>l financial market developments as well as transmit risks from external financial shocks to local financial systems.</w:t>
      </w: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Foreign indirect investment is typically measured using data on portfolio investment flows and positions. International organizations, li</w:t>
      </w:r>
      <w:r>
        <w:rPr>
          <w:rFonts w:ascii="Times New Roman" w:eastAsia="Times New Roman" w:hAnsi="Times New Roman" w:cs="Times New Roman"/>
          <w:sz w:val="24"/>
        </w:rPr>
        <w:t xml:space="preserve">ke the </w:t>
      </w:r>
      <w:proofErr w:type="spellStart"/>
      <w:r>
        <w:rPr>
          <w:rFonts w:ascii="Times New Roman" w:eastAsia="Times New Roman" w:hAnsi="Times New Roman" w:cs="Times New Roman"/>
          <w:sz w:val="24"/>
        </w:rPr>
        <w:t>The</w:t>
      </w:r>
      <w:proofErr w:type="spellEnd"/>
      <w:r>
        <w:rPr>
          <w:rFonts w:ascii="Times New Roman" w:eastAsia="Times New Roman" w:hAnsi="Times New Roman" w:cs="Times New Roman"/>
          <w:sz w:val="24"/>
        </w:rPr>
        <w:t xml:space="preserve"> International Monetary Fund (IMF) and the World Bank regularly collect, </w:t>
      </w:r>
      <w:proofErr w:type="spellStart"/>
      <w:r>
        <w:rPr>
          <w:rFonts w:ascii="Times New Roman" w:eastAsia="Times New Roman" w:hAnsi="Times New Roman" w:cs="Times New Roman"/>
          <w:sz w:val="24"/>
        </w:rPr>
        <w:t>analyse</w:t>
      </w:r>
      <w:proofErr w:type="spellEnd"/>
      <w:r>
        <w:rPr>
          <w:rFonts w:ascii="Times New Roman" w:eastAsia="Times New Roman" w:hAnsi="Times New Roman" w:cs="Times New Roman"/>
          <w:sz w:val="24"/>
        </w:rPr>
        <w:t>, and publish data on foreign investment flows and positions, providing valuable insights and statistics on international investment trends and activities. They may c</w:t>
      </w:r>
      <w:r>
        <w:rPr>
          <w:rFonts w:ascii="Times New Roman" w:eastAsia="Times New Roman" w:hAnsi="Times New Roman" w:cs="Times New Roman"/>
          <w:sz w:val="24"/>
        </w:rPr>
        <w:t>ollect data from national statistical agencies, central banks, and other sources to produce comprehensive and consistent data sets on foreign indirect investment. More so, stock exchanges can provide data on the trading activity of foreign investors in the</w:t>
      </w:r>
      <w:r>
        <w:rPr>
          <w:rFonts w:ascii="Times New Roman" w:eastAsia="Times New Roman" w:hAnsi="Times New Roman" w:cs="Times New Roman"/>
          <w:sz w:val="24"/>
        </w:rPr>
        <w:t xml:space="preserve"> equity markets. This includes information on the purchases and sales of stocks by foreign institutional investors. Stock exchange data can offer insights into the level of foreign participation in the equity markets and changes in foreign ownership over t</w:t>
      </w:r>
      <w:r>
        <w:rPr>
          <w:rFonts w:ascii="Times New Roman" w:eastAsia="Times New Roman" w:hAnsi="Times New Roman" w:cs="Times New Roman"/>
          <w:sz w:val="24"/>
        </w:rPr>
        <w:t>ime. Central banks often conduct surveys to collect information directly from financial institutions and other market participants. These surveys aim to capture details on foreign investment holdings, transactions, and positions, including portfolio invest</w:t>
      </w:r>
      <w:r>
        <w:rPr>
          <w:rFonts w:ascii="Times New Roman" w:eastAsia="Times New Roman" w:hAnsi="Times New Roman" w:cs="Times New Roman"/>
          <w:sz w:val="24"/>
        </w:rPr>
        <w:t>ments. The surveys provide more granular and detailed information on the composition, maturity, and ownership of foreign indirect investment.</w:t>
      </w: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sz w:val="24"/>
        </w:rPr>
        <w:t> </w:t>
      </w:r>
    </w:p>
    <w:p w:rsidR="00DF0840" w:rsidRDefault="00B3023B">
      <w:pPr>
        <w:keepNext/>
        <w:keepLines/>
        <w:spacing w:before="160" w:after="12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3.6. Estimation Techniques</w:t>
      </w:r>
    </w:p>
    <w:p w:rsidR="00DF0840" w:rsidRDefault="00DF0840">
      <w:pPr>
        <w:spacing w:after="0" w:line="360" w:lineRule="auto"/>
        <w:jc w:val="both"/>
        <w:rPr>
          <w:rFonts w:ascii="Times New Roman" w:eastAsia="Times New Roman" w:hAnsi="Times New Roman" w:cs="Times New Roman"/>
          <w:b/>
          <w:sz w:val="24"/>
        </w:rPr>
      </w:pPr>
    </w:p>
    <w:p w:rsidR="00DF0840" w:rsidRDefault="00B3023B">
      <w:pPr>
        <w:keepNext/>
        <w:keepLines/>
        <w:spacing w:before="400" w:after="36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3.6.1 Fixed Effects Model</w:t>
      </w:r>
    </w:p>
    <w:p w:rsidR="00DF0840" w:rsidRDefault="00B3023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The Fixed Effects (FE) model is a statistical technique used to estimate the relationship between variables in a panel data setting, where data is collected from multiple units (e.g., countries, firms, individuals) over time. This model assumes that the va</w:t>
      </w:r>
      <w:r>
        <w:rPr>
          <w:rFonts w:ascii="Times New Roman" w:eastAsia="Times New Roman" w:hAnsi="Times New Roman" w:cs="Times New Roman"/>
          <w:sz w:val="24"/>
        </w:rPr>
        <w:t xml:space="preserve">riation in the dependent variable </w:t>
      </w:r>
      <w:r>
        <w:rPr>
          <w:rFonts w:ascii="Times New Roman" w:eastAsia="Times New Roman" w:hAnsi="Times New Roman" w:cs="Times New Roman"/>
          <w:sz w:val="24"/>
        </w:rPr>
        <w:lastRenderedPageBreak/>
        <w:t>can be attributed to individual-specific effects, which are fixed and unobserved, in addition to the observed explanatory variables. The FE model controls for these unobserved individual-specific effects by including a dum</w:t>
      </w:r>
      <w:r>
        <w:rPr>
          <w:rFonts w:ascii="Times New Roman" w:eastAsia="Times New Roman" w:hAnsi="Times New Roman" w:cs="Times New Roman"/>
          <w:sz w:val="24"/>
        </w:rPr>
        <w:t>my variable for each unit, estimating the unique effect of each unit on the dependent variable. This approach removes the bias caused by omitted variables that are specific to each unit, providing a more accurate estimate of the regression coefficients. In</w:t>
      </w:r>
      <w:r>
        <w:rPr>
          <w:rFonts w:ascii="Times New Roman" w:eastAsia="Times New Roman" w:hAnsi="Times New Roman" w:cs="Times New Roman"/>
          <w:sz w:val="24"/>
        </w:rPr>
        <w:t xml:space="preserve"> the context of this study, the FE model is employed to examine the effects of monetary policy on financial sector stability in Sub-Saharan Africa, while controlling for unobserved country-specific factors that may influence the relationship. By accounting</w:t>
      </w:r>
      <w:r>
        <w:rPr>
          <w:rFonts w:ascii="Times New Roman" w:eastAsia="Times New Roman" w:hAnsi="Times New Roman" w:cs="Times New Roman"/>
          <w:sz w:val="24"/>
        </w:rPr>
        <w:t xml:space="preserve"> for these fixed effects, the model provides a more precise estimate of the impact of monetary policy on financial sector stability in the region.</w:t>
      </w:r>
    </w:p>
    <w:p w:rsidR="00DF0840" w:rsidRDefault="00DF0840">
      <w:pPr>
        <w:spacing w:after="0" w:line="360" w:lineRule="auto"/>
        <w:rPr>
          <w:rFonts w:ascii="Times New Roman" w:eastAsia="Times New Roman" w:hAnsi="Times New Roman" w:cs="Times New Roman"/>
          <w:sz w:val="24"/>
        </w:rPr>
      </w:pPr>
    </w:p>
    <w:p w:rsidR="00DF0840" w:rsidRDefault="00DF0840">
      <w:pPr>
        <w:spacing w:after="0" w:line="360" w:lineRule="auto"/>
        <w:rPr>
          <w:rFonts w:ascii="Times New Roman" w:eastAsia="Times New Roman" w:hAnsi="Times New Roman" w:cs="Times New Roman"/>
          <w:sz w:val="24"/>
        </w:rPr>
      </w:pPr>
    </w:p>
    <w:p w:rsidR="00DF0840" w:rsidRDefault="00B3023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The fixed effects model can be mathematically represented as:</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Yit</w:t>
      </w:r>
      <w:proofErr w:type="spellEnd"/>
      <w:r>
        <w:rPr>
          <w:rFonts w:ascii="Times New Roman" w:eastAsia="Times New Roman" w:hAnsi="Times New Roman" w:cs="Times New Roman"/>
          <w:sz w:val="24"/>
        </w:rPr>
        <w:t xml:space="preserve"> = α</w:t>
      </w: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 </w:t>
      </w:r>
      <w:proofErr w:type="spellStart"/>
      <w:r>
        <w:rPr>
          <w:rFonts w:ascii="Times New Roman" w:eastAsia="Times New Roman" w:hAnsi="Times New Roman" w:cs="Times New Roman"/>
          <w:sz w:val="24"/>
        </w:rPr>
        <w:t>μi</w:t>
      </w:r>
      <w:proofErr w:type="spellEnd"/>
      <w:r>
        <w:rPr>
          <w:rFonts w:ascii="Times New Roman" w:eastAsia="Times New Roman" w:hAnsi="Times New Roman" w:cs="Times New Roman"/>
          <w:sz w:val="24"/>
        </w:rPr>
        <w:t xml:space="preserve"> + </w:t>
      </w:r>
      <w:proofErr w:type="spellStart"/>
      <w:r>
        <w:rPr>
          <w:rFonts w:ascii="Times New Roman" w:eastAsia="Times New Roman" w:hAnsi="Times New Roman" w:cs="Times New Roman"/>
          <w:sz w:val="24"/>
        </w:rPr>
        <w:t>Xit</w:t>
      </w:r>
      <w:proofErr w:type="spellEnd"/>
      <w:r>
        <w:rPr>
          <w:rFonts w:ascii="Times New Roman" w:eastAsia="Times New Roman" w:hAnsi="Times New Roman" w:cs="Times New Roman"/>
          <w:sz w:val="24"/>
        </w:rPr>
        <w:t xml:space="preserve">β + </w:t>
      </w:r>
      <w:proofErr w:type="spellStart"/>
      <w:r>
        <w:rPr>
          <w:rFonts w:ascii="Times New Roman" w:eastAsia="Times New Roman" w:hAnsi="Times New Roman" w:cs="Times New Roman"/>
          <w:sz w:val="24"/>
        </w:rPr>
        <w:t>εit</w:t>
      </w:r>
      <w:proofErr w:type="spellEnd"/>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Where:</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Yit</w:t>
      </w:r>
      <w:proofErr w:type="spellEnd"/>
      <w:r>
        <w:rPr>
          <w:rFonts w:ascii="Times New Roman" w:eastAsia="Times New Roman" w:hAnsi="Times New Roman" w:cs="Times New Roman"/>
          <w:sz w:val="24"/>
        </w:rPr>
        <w:t xml:space="preserve"> is the dependent variable for individual </w:t>
      </w: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at time t</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Xit</w:t>
      </w:r>
      <w:proofErr w:type="spellEnd"/>
      <w:r>
        <w:rPr>
          <w:rFonts w:ascii="Times New Roman" w:eastAsia="Times New Roman" w:hAnsi="Times New Roman" w:cs="Times New Roman"/>
          <w:sz w:val="24"/>
        </w:rPr>
        <w:t xml:space="preserve"> is a vector of time-varying independent variables for individual </w:t>
      </w: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at time t</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α</w:t>
      </w:r>
      <w:proofErr w:type="spellStart"/>
      <w:r>
        <w:rPr>
          <w:rFonts w:ascii="Times New Roman" w:eastAsia="Times New Roman" w:hAnsi="Times New Roman" w:cs="Times New Roman"/>
          <w:sz w:val="24"/>
        </w:rPr>
        <w:t>i</w:t>
      </w:r>
      <w:proofErr w:type="spellEnd"/>
      <w:proofErr w:type="gramEnd"/>
      <w:r>
        <w:rPr>
          <w:rFonts w:ascii="Times New Roman" w:eastAsia="Times New Roman" w:hAnsi="Times New Roman" w:cs="Times New Roman"/>
          <w:sz w:val="24"/>
        </w:rPr>
        <w:t xml:space="preserve"> is the intercept term, which includes the individual-specific effect </w:t>
      </w:r>
      <w:proofErr w:type="spellStart"/>
      <w:r>
        <w:rPr>
          <w:rFonts w:ascii="Times New Roman" w:eastAsia="Times New Roman" w:hAnsi="Times New Roman" w:cs="Times New Roman"/>
          <w:sz w:val="24"/>
        </w:rPr>
        <w:t>μi</w:t>
      </w:r>
      <w:proofErr w:type="spellEnd"/>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β</w:t>
      </w:r>
      <w:proofErr w:type="gramEnd"/>
      <w:r>
        <w:rPr>
          <w:rFonts w:ascii="Times New Roman" w:eastAsia="Times New Roman" w:hAnsi="Times New Roman" w:cs="Times New Roman"/>
          <w:sz w:val="24"/>
        </w:rPr>
        <w:t xml:space="preserve"> is the coefficient vector for the</w:t>
      </w:r>
      <w:r>
        <w:rPr>
          <w:rFonts w:ascii="Times New Roman" w:eastAsia="Times New Roman" w:hAnsi="Times New Roman" w:cs="Times New Roman"/>
          <w:sz w:val="24"/>
        </w:rPr>
        <w:t xml:space="preserve"> independent variables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proofErr w:type="gramStart"/>
      <w:r>
        <w:rPr>
          <w:rFonts w:ascii="Times New Roman" w:eastAsia="Times New Roman" w:hAnsi="Times New Roman" w:cs="Times New Roman"/>
          <w:sz w:val="24"/>
        </w:rPr>
        <w:t>εit</w:t>
      </w:r>
      <w:proofErr w:type="spellEnd"/>
      <w:proofErr w:type="gramEnd"/>
      <w:r>
        <w:rPr>
          <w:rFonts w:ascii="Times New Roman" w:eastAsia="Times New Roman" w:hAnsi="Times New Roman" w:cs="Times New Roman"/>
          <w:sz w:val="24"/>
        </w:rPr>
        <w:t xml:space="preserve"> is the error term</w:t>
      </w:r>
    </w:p>
    <w:p w:rsidR="00DF0840" w:rsidRDefault="00DF0840">
      <w:pPr>
        <w:spacing w:after="0" w:line="360" w:lineRule="auto"/>
        <w:jc w:val="both"/>
        <w:rPr>
          <w:rFonts w:ascii="Times New Roman" w:eastAsia="Times New Roman" w:hAnsi="Times New Roman" w:cs="Times New Roman"/>
          <w:sz w:val="24"/>
        </w:rPr>
      </w:pPr>
    </w:p>
    <w:p w:rsidR="00DF0840" w:rsidRDefault="00B3023B">
      <w:pPr>
        <w:keepNext/>
        <w:keepLines/>
        <w:spacing w:before="400" w:after="36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3.6.2 Random effects model (REM)</w:t>
      </w:r>
    </w:p>
    <w:p w:rsidR="00DF0840" w:rsidRDefault="00B3023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The random effects model is a statistical technique used to estimate the relationship between variables in a panel data setting, where data is collected from multiple units (e</w:t>
      </w:r>
      <w:r>
        <w:rPr>
          <w:rFonts w:ascii="Times New Roman" w:eastAsia="Times New Roman" w:hAnsi="Times New Roman" w:cs="Times New Roman"/>
          <w:sz w:val="24"/>
        </w:rPr>
        <w:t xml:space="preserve">.g., countries, firms, individuals) over time. This model assumes that the variation in the dependent variable can be attributed to individual-specific effects, which are random and unobserved, in addition to </w:t>
      </w:r>
      <w:r>
        <w:rPr>
          <w:rFonts w:ascii="Times New Roman" w:eastAsia="Times New Roman" w:hAnsi="Times New Roman" w:cs="Times New Roman"/>
          <w:sz w:val="24"/>
        </w:rPr>
        <w:lastRenderedPageBreak/>
        <w:t xml:space="preserve">the observed explanatory variables. The random </w:t>
      </w:r>
      <w:r>
        <w:rPr>
          <w:rFonts w:ascii="Times New Roman" w:eastAsia="Times New Roman" w:hAnsi="Times New Roman" w:cs="Times New Roman"/>
          <w:sz w:val="24"/>
        </w:rPr>
        <w:t>effects model accounts for the correlation between observations within units, providing a more efficient estimate of the regression coefficients. In the context of this study, the random effects model is employed to examine the effects of monetary policy o</w:t>
      </w:r>
      <w:r>
        <w:rPr>
          <w:rFonts w:ascii="Times New Roman" w:eastAsia="Times New Roman" w:hAnsi="Times New Roman" w:cs="Times New Roman"/>
          <w:sz w:val="24"/>
        </w:rPr>
        <w:t>n financial sector stability in Sub-Saharan Africa, while controlling for unobserved country-specific factors that may influence the relationship. By assuming that the country-specific effects are random and uncorrelated with the explanatory variables, the</w:t>
      </w:r>
      <w:r>
        <w:rPr>
          <w:rFonts w:ascii="Times New Roman" w:eastAsia="Times New Roman" w:hAnsi="Times New Roman" w:cs="Times New Roman"/>
          <w:sz w:val="24"/>
        </w:rPr>
        <w:t xml:space="preserve"> random effects model provides a robust estimate of the effects of monetary policy on financial sector stability in the region.</w:t>
      </w:r>
    </w:p>
    <w:p w:rsidR="00DF0840" w:rsidRDefault="00DF0840">
      <w:pPr>
        <w:spacing w:after="0" w:line="360" w:lineRule="auto"/>
        <w:rPr>
          <w:rFonts w:ascii="Times New Roman" w:eastAsia="Times New Roman" w:hAnsi="Times New Roman" w:cs="Times New Roman"/>
          <w:sz w:val="24"/>
        </w:rPr>
      </w:pPr>
    </w:p>
    <w:p w:rsidR="00DF0840" w:rsidRDefault="00B3023B">
      <w:pPr>
        <w:keepNext/>
        <w:keepLines/>
        <w:spacing w:before="400" w:after="36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3.6.3Unit root test</w:t>
      </w:r>
    </w:p>
    <w:p w:rsidR="00DF0840" w:rsidRDefault="00B3023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 unit root is a feature of a time series that exhibits no tendency to revert to a mean or equilibrium leve</w:t>
      </w:r>
      <w:r>
        <w:rPr>
          <w:rFonts w:ascii="Times New Roman" w:eastAsia="Times New Roman" w:hAnsi="Times New Roman" w:cs="Times New Roman"/>
          <w:sz w:val="24"/>
        </w:rPr>
        <w:t>l, instead exhibiting persistent movements over time. In other words, a time series with a unit root has a strong memory, meaning that past values have a significant influence on future values.</w:t>
      </w:r>
    </w:p>
    <w:p w:rsidR="00DF0840" w:rsidRDefault="00DF0840">
      <w:pPr>
        <w:spacing w:after="0" w:line="360" w:lineRule="auto"/>
        <w:rPr>
          <w:rFonts w:ascii="Times New Roman" w:eastAsia="Times New Roman" w:hAnsi="Times New Roman" w:cs="Times New Roman"/>
          <w:sz w:val="24"/>
        </w:rPr>
      </w:pPr>
    </w:p>
    <w:p w:rsidR="00DF0840" w:rsidRDefault="00B3023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Formally, a time series </w:t>
      </w:r>
      <w:proofErr w:type="spellStart"/>
      <w:r>
        <w:rPr>
          <w:rFonts w:ascii="Times New Roman" w:eastAsia="Times New Roman" w:hAnsi="Times New Roman" w:cs="Times New Roman"/>
          <w:sz w:val="24"/>
        </w:rPr>
        <w:t>y_t</w:t>
      </w:r>
      <w:proofErr w:type="spellEnd"/>
      <w:r>
        <w:rPr>
          <w:rFonts w:ascii="Times New Roman" w:eastAsia="Times New Roman" w:hAnsi="Times New Roman" w:cs="Times New Roman"/>
          <w:sz w:val="24"/>
        </w:rPr>
        <w:t xml:space="preserve"> is said to have a unit root if it can be written as:</w:t>
      </w:r>
    </w:p>
    <w:p w:rsidR="00DF0840" w:rsidRDefault="00DF0840">
      <w:pPr>
        <w:spacing w:after="0" w:line="360" w:lineRule="auto"/>
        <w:rPr>
          <w:rFonts w:ascii="Times New Roman" w:eastAsia="Times New Roman" w:hAnsi="Times New Roman" w:cs="Times New Roman"/>
          <w:sz w:val="24"/>
        </w:rPr>
      </w:pPr>
    </w:p>
    <w:p w:rsidR="00DF0840" w:rsidRDefault="00B3023B">
      <w:pPr>
        <w:spacing w:after="0" w:line="36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y_t</w:t>
      </w:r>
      <w:proofErr w:type="spellEnd"/>
      <w:r>
        <w:rPr>
          <w:rFonts w:ascii="Times New Roman" w:eastAsia="Times New Roman" w:hAnsi="Times New Roman" w:cs="Times New Roman"/>
          <w:sz w:val="24"/>
        </w:rPr>
        <w:t xml:space="preserve"> = y</w:t>
      </w:r>
      <w:proofErr w:type="gramStart"/>
      <w:r>
        <w:rPr>
          <w:rFonts w:ascii="Times New Roman" w:eastAsia="Times New Roman" w:hAnsi="Times New Roman" w:cs="Times New Roman"/>
          <w:sz w:val="24"/>
        </w:rPr>
        <w:t>_{</w:t>
      </w:r>
      <w:proofErr w:type="gramEnd"/>
      <w:r>
        <w:rPr>
          <w:rFonts w:ascii="Times New Roman" w:eastAsia="Times New Roman" w:hAnsi="Times New Roman" w:cs="Times New Roman"/>
          <w:sz w:val="24"/>
        </w:rPr>
        <w:t xml:space="preserve">t-1} + </w:t>
      </w:r>
      <w:proofErr w:type="spellStart"/>
      <w:r>
        <w:rPr>
          <w:rFonts w:ascii="Times New Roman" w:eastAsia="Times New Roman" w:hAnsi="Times New Roman" w:cs="Times New Roman"/>
          <w:sz w:val="24"/>
        </w:rPr>
        <w:t>ε_t</w:t>
      </w:r>
      <w:proofErr w:type="spellEnd"/>
    </w:p>
    <w:p w:rsidR="00DF0840" w:rsidRDefault="00DF0840">
      <w:pPr>
        <w:spacing w:after="0" w:line="360" w:lineRule="auto"/>
        <w:rPr>
          <w:rFonts w:ascii="Times New Roman" w:eastAsia="Times New Roman" w:hAnsi="Times New Roman" w:cs="Times New Roman"/>
          <w:sz w:val="24"/>
        </w:rPr>
      </w:pPr>
    </w:p>
    <w:p w:rsidR="00DF0840" w:rsidRDefault="00B3023B">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where</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ε_t</w:t>
      </w:r>
      <w:proofErr w:type="spellEnd"/>
      <w:r>
        <w:rPr>
          <w:rFonts w:ascii="Times New Roman" w:eastAsia="Times New Roman" w:hAnsi="Times New Roman" w:cs="Times New Roman"/>
          <w:sz w:val="24"/>
        </w:rPr>
        <w:t xml:space="preserve"> is an error term. This means that the current value of </w:t>
      </w:r>
      <w:proofErr w:type="spellStart"/>
      <w:r>
        <w:rPr>
          <w:rFonts w:ascii="Times New Roman" w:eastAsia="Times New Roman" w:hAnsi="Times New Roman" w:cs="Times New Roman"/>
          <w:sz w:val="24"/>
        </w:rPr>
        <w:t>y_t</w:t>
      </w:r>
      <w:proofErr w:type="spellEnd"/>
      <w:r>
        <w:rPr>
          <w:rFonts w:ascii="Times New Roman" w:eastAsia="Times New Roman" w:hAnsi="Times New Roman" w:cs="Times New Roman"/>
          <w:sz w:val="24"/>
        </w:rPr>
        <w:t xml:space="preserve"> is equal to its previous value, plus some random error. The presence of a unit root </w:t>
      </w:r>
      <w:r>
        <w:rPr>
          <w:rFonts w:ascii="Times New Roman" w:eastAsia="Times New Roman" w:hAnsi="Times New Roman" w:cs="Times New Roman"/>
          <w:sz w:val="24"/>
        </w:rPr>
        <w:t xml:space="preserve">has important implications for time series analysis, as many statistical techniques assume </w:t>
      </w:r>
      <w:proofErr w:type="spellStart"/>
      <w:r>
        <w:rPr>
          <w:rFonts w:ascii="Times New Roman" w:eastAsia="Times New Roman" w:hAnsi="Times New Roman" w:cs="Times New Roman"/>
          <w:sz w:val="24"/>
        </w:rPr>
        <w:t>Stationarity</w:t>
      </w:r>
      <w:proofErr w:type="spellEnd"/>
      <w:r>
        <w:rPr>
          <w:rFonts w:ascii="Times New Roman" w:eastAsia="Times New Roman" w:hAnsi="Times New Roman" w:cs="Times New Roman"/>
          <w:sz w:val="24"/>
        </w:rPr>
        <w:t>. To address this, researchers often use transformations, such as differencing, to remove the unit root and make the series stationary. The Augmented Dic</w:t>
      </w:r>
      <w:r>
        <w:rPr>
          <w:rFonts w:ascii="Times New Roman" w:eastAsia="Times New Roman" w:hAnsi="Times New Roman" w:cs="Times New Roman"/>
          <w:sz w:val="24"/>
        </w:rPr>
        <w:t xml:space="preserve">key-Fuller (ADF) test is a common tool used to detect unit roots in time series data. The test statistic and p-value are used to determine whether the null hypothesis of a unit root can be rejected, indicating </w:t>
      </w:r>
      <w:proofErr w:type="spellStart"/>
      <w:r>
        <w:rPr>
          <w:rFonts w:ascii="Times New Roman" w:eastAsia="Times New Roman" w:hAnsi="Times New Roman" w:cs="Times New Roman"/>
          <w:sz w:val="24"/>
        </w:rPr>
        <w:t>Stationarity</w:t>
      </w:r>
      <w:proofErr w:type="spellEnd"/>
      <w:r>
        <w:rPr>
          <w:rFonts w:ascii="Times New Roman" w:eastAsia="Times New Roman" w:hAnsi="Times New Roman" w:cs="Times New Roman"/>
          <w:sz w:val="24"/>
        </w:rPr>
        <w:t>.</w:t>
      </w:r>
    </w:p>
    <w:p w:rsidR="00DF0840" w:rsidRDefault="00DF0840">
      <w:pPr>
        <w:spacing w:after="0" w:line="360" w:lineRule="auto"/>
        <w:jc w:val="both"/>
        <w:rPr>
          <w:rFonts w:ascii="Times New Roman" w:eastAsia="Times New Roman" w:hAnsi="Times New Roman" w:cs="Times New Roman"/>
          <w:sz w:val="24"/>
        </w:rPr>
      </w:pPr>
    </w:p>
    <w:p w:rsidR="00DF0840" w:rsidRDefault="00B3023B">
      <w:pPr>
        <w:keepNext/>
        <w:keepLines/>
        <w:spacing w:before="400" w:after="36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3.5.4 The Haussmann Test</w:t>
      </w:r>
    </w:p>
    <w:p w:rsidR="00DF0840" w:rsidRDefault="00B3023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The Ha</w:t>
      </w:r>
      <w:r>
        <w:rPr>
          <w:rFonts w:ascii="Times New Roman" w:eastAsia="Times New Roman" w:hAnsi="Times New Roman" w:cs="Times New Roman"/>
          <w:sz w:val="24"/>
        </w:rPr>
        <w:t>ussmann test was employed to determine the appropriateness of the fixed effects or random effects model in estimating the effects of monetary policy on financial sector stability in Sub-Saharan Africa. The test results revealed a significant chi-squared st</w:t>
      </w:r>
      <w:r>
        <w:rPr>
          <w:rFonts w:ascii="Times New Roman" w:eastAsia="Times New Roman" w:hAnsi="Times New Roman" w:cs="Times New Roman"/>
          <w:sz w:val="24"/>
        </w:rPr>
        <w:t>atistic (19.677) with a probability value of 0.0014, indicating a rejection of the null hypothesis that the random effects model is appropriate. This suggests that the fixed effects model is more suitable for estimating the relationship between monetary po</w:t>
      </w:r>
      <w:r>
        <w:rPr>
          <w:rFonts w:ascii="Times New Roman" w:eastAsia="Times New Roman" w:hAnsi="Times New Roman" w:cs="Times New Roman"/>
          <w:sz w:val="24"/>
        </w:rPr>
        <w:t>licy variables and financial sector stability indicators in the region. The rejection of the random effects model implies that the unobserved heterogeneity among countries is correlated with the explanatory variables, and the fixed effects model effectivel</w:t>
      </w:r>
      <w:r>
        <w:rPr>
          <w:rFonts w:ascii="Times New Roman" w:eastAsia="Times New Roman" w:hAnsi="Times New Roman" w:cs="Times New Roman"/>
          <w:sz w:val="24"/>
        </w:rPr>
        <w:t xml:space="preserve">y controls for this </w:t>
      </w:r>
      <w:proofErr w:type="spellStart"/>
      <w:r>
        <w:rPr>
          <w:rFonts w:ascii="Times New Roman" w:eastAsia="Times New Roman" w:hAnsi="Times New Roman" w:cs="Times New Roman"/>
          <w:sz w:val="24"/>
        </w:rPr>
        <w:t>endogeneity</w:t>
      </w:r>
      <w:proofErr w:type="spellEnd"/>
      <w:r>
        <w:rPr>
          <w:rFonts w:ascii="Times New Roman" w:eastAsia="Times New Roman" w:hAnsi="Times New Roman" w:cs="Times New Roman"/>
          <w:sz w:val="24"/>
        </w:rPr>
        <w:t>. Therefore, the fixed effects model was adopted for subsequent analysis, providing a more accurate estimate of the effects of monetary policy on financial sector stability in Sub-Saharan Africa.</w:t>
      </w:r>
    </w:p>
    <w:p w:rsidR="00DF0840" w:rsidRDefault="00DF0840">
      <w:pPr>
        <w:spacing w:after="0" w:line="240" w:lineRule="auto"/>
        <w:rPr>
          <w:rFonts w:ascii="Calibri" w:eastAsia="Calibri" w:hAnsi="Calibri" w:cs="Calibri"/>
        </w:rPr>
      </w:pPr>
    </w:p>
    <w:p w:rsidR="00DF0840" w:rsidRDefault="00B3023B">
      <w:pPr>
        <w:keepNext/>
        <w:keepLines/>
        <w:spacing w:before="160" w:after="12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3.6.0 Conclusion</w:t>
      </w: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sz w:val="24"/>
        </w:rPr>
        <w:t>This chapte</w:t>
      </w:r>
      <w:r>
        <w:rPr>
          <w:rFonts w:ascii="Times New Roman" w:eastAsia="Times New Roman" w:hAnsi="Times New Roman" w:cs="Times New Roman"/>
          <w:sz w:val="24"/>
        </w:rPr>
        <w:t>r outlines the research methodology employed to investigate the effect of monetary policy on financial sector stability in Sub-Saharan Africa during the period of 2008-2022. The chapter provides a comprehensive overview of the research design, data sources</w:t>
      </w:r>
      <w:r>
        <w:rPr>
          <w:rFonts w:ascii="Times New Roman" w:eastAsia="Times New Roman" w:hAnsi="Times New Roman" w:cs="Times New Roman"/>
          <w:sz w:val="24"/>
        </w:rPr>
        <w:t xml:space="preserve">, variable selection, model specification, and estimation technique used in the analysis, offering a detailed understanding of the research approach and methods utilized to explore the relationship between monetary policy and financial sector stability in </w:t>
      </w:r>
      <w:r>
        <w:rPr>
          <w:rFonts w:ascii="Times New Roman" w:eastAsia="Times New Roman" w:hAnsi="Times New Roman" w:cs="Times New Roman"/>
          <w:sz w:val="24"/>
        </w:rPr>
        <w:t>the region.</w:t>
      </w: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DF0840">
      <w:pPr>
        <w:spacing w:after="0" w:line="240" w:lineRule="auto"/>
        <w:rPr>
          <w:rFonts w:ascii="Calibri" w:eastAsia="Calibri" w:hAnsi="Calibri" w:cs="Calibri"/>
        </w:rPr>
      </w:pPr>
    </w:p>
    <w:p w:rsidR="00DF0840" w:rsidRDefault="00B3023B">
      <w:pPr>
        <w:keepNext/>
        <w:keepLines/>
        <w:spacing w:before="360"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CHAPTER IV</w:t>
      </w:r>
    </w:p>
    <w:p w:rsidR="00DF0840" w:rsidRDefault="00DF0840">
      <w:pPr>
        <w:keepNext/>
        <w:keepLines/>
        <w:spacing w:before="360" w:after="120" w:line="360" w:lineRule="auto"/>
        <w:jc w:val="center"/>
        <w:rPr>
          <w:rFonts w:ascii="Times New Roman" w:eastAsia="Times New Roman" w:hAnsi="Times New Roman" w:cs="Times New Roman"/>
          <w:b/>
          <w:sz w:val="24"/>
        </w:rPr>
      </w:pPr>
    </w:p>
    <w:p w:rsidR="00DF0840" w:rsidRDefault="00B3023B">
      <w:pPr>
        <w:keepNext/>
        <w:keepLines/>
        <w:spacing w:before="360"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DATA PRESENTATION ANALYSIS AND PRESENTATION RESULTS</w:t>
      </w:r>
    </w:p>
    <w:p w:rsidR="00DF0840" w:rsidRDefault="00DF0840">
      <w:pPr>
        <w:spacing w:after="0" w:line="360" w:lineRule="auto"/>
        <w:jc w:val="center"/>
        <w:rPr>
          <w:rFonts w:ascii="Times New Roman" w:eastAsia="Times New Roman" w:hAnsi="Times New Roman" w:cs="Times New Roman"/>
          <w:b/>
          <w:sz w:val="24"/>
        </w:rPr>
      </w:pPr>
    </w:p>
    <w:p w:rsidR="00DF0840" w:rsidRDefault="00B3023B">
      <w:pPr>
        <w:keepNext/>
        <w:keepLines/>
        <w:spacing w:before="160" w:after="12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4.0.0 INTRODUCTION</w:t>
      </w:r>
    </w:p>
    <w:p w:rsidR="00DF0840" w:rsidRDefault="00B3023B">
      <w:pPr>
        <w:spacing w:after="0" w:line="360" w:lineRule="auto"/>
        <w:jc w:val="both"/>
        <w:rPr>
          <w:rFonts w:ascii="Calibri" w:eastAsia="Calibri" w:hAnsi="Calibri" w:cs="Calibri"/>
          <w:sz w:val="24"/>
        </w:rPr>
      </w:pPr>
      <w:r>
        <w:rPr>
          <w:rFonts w:ascii="Times New Roman" w:eastAsia="Times New Roman" w:hAnsi="Times New Roman" w:cs="Times New Roman"/>
          <w:sz w:val="24"/>
        </w:rPr>
        <w:t>This chapter presents the results of the empirical analysis on the effects of monetary policy on financial sector stability in Sub-Saharan Africa. The chapter is organized into several sections, each focusing on a specific aspect of the analysis. First, th</w:t>
      </w:r>
      <w:r>
        <w:rPr>
          <w:rFonts w:ascii="Times New Roman" w:eastAsia="Times New Roman" w:hAnsi="Times New Roman" w:cs="Times New Roman"/>
          <w:sz w:val="24"/>
        </w:rPr>
        <w:t xml:space="preserve">e chapter presents the descriptive statistics of the variables used in the study, providing an overview of the data. Next, the chapter reports the results of the econometric analysis, including the regression outputs and diagnostic tests. The chapter then </w:t>
      </w:r>
      <w:r>
        <w:rPr>
          <w:rFonts w:ascii="Times New Roman" w:eastAsia="Times New Roman" w:hAnsi="Times New Roman" w:cs="Times New Roman"/>
          <w:sz w:val="24"/>
        </w:rPr>
        <w:t>presents the findings on the impact of monetary policy on financial sector stability, including the effects of monetary policy instruments on non-performing loans, bank stability, and financial inclusion. Finally, the chapter concludes with a summary of th</w:t>
      </w:r>
      <w:r>
        <w:rPr>
          <w:rFonts w:ascii="Times New Roman" w:eastAsia="Times New Roman" w:hAnsi="Times New Roman" w:cs="Times New Roman"/>
          <w:sz w:val="24"/>
        </w:rPr>
        <w:t>e key findings and implications for policy and future research.</w:t>
      </w:r>
    </w:p>
    <w:p w:rsidR="00DF0840" w:rsidRDefault="00DF0840">
      <w:pPr>
        <w:spacing w:after="0" w:line="360" w:lineRule="auto"/>
        <w:jc w:val="both"/>
        <w:rPr>
          <w:rFonts w:ascii="Times New Roman" w:eastAsia="Times New Roman" w:hAnsi="Times New Roman" w:cs="Times New Roman"/>
          <w:b/>
          <w:sz w:val="24"/>
        </w:rPr>
      </w:pPr>
    </w:p>
    <w:p w:rsidR="00DF0840" w:rsidRDefault="00B3023B">
      <w:pPr>
        <w:keepNext/>
        <w:keepLines/>
        <w:spacing w:before="160" w:after="12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4.1 Descriptive statistics</w:t>
      </w:r>
    </w:p>
    <w:p w:rsidR="00DF0840" w:rsidRDefault="00DF0840">
      <w:pPr>
        <w:spacing w:after="0" w:line="360" w:lineRule="auto"/>
        <w:jc w:val="both"/>
        <w:rPr>
          <w:rFonts w:ascii="Times New Roman" w:eastAsia="Times New Roman" w:hAnsi="Times New Roman" w:cs="Times New Roman"/>
          <w:b/>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This section analyses the relationship between monetary policy and financial sector stability in 12 sub-Saharan African countries from 2008 to 2022. Due to data li</w:t>
      </w:r>
      <w:r>
        <w:rPr>
          <w:rFonts w:ascii="Times New Roman" w:eastAsia="Times New Roman" w:hAnsi="Times New Roman" w:cs="Times New Roman"/>
          <w:sz w:val="24"/>
        </w:rPr>
        <w:t>mitations, the study focuses on a select group of countries, examining the mean, standard deviation, minimum, and maximum values of Bank non-performing loans and interest rates over a 15-year period. The primary goal is to provide a concise overview of the</w:t>
      </w:r>
      <w:r>
        <w:rPr>
          <w:rFonts w:ascii="Times New Roman" w:eastAsia="Times New Roman" w:hAnsi="Times New Roman" w:cs="Times New Roman"/>
          <w:sz w:val="24"/>
        </w:rPr>
        <w:t xml:space="preserve"> descriptive statistics for both predictor and dependent variables. By scrutinizing the data trends and patterns, this section aims to uncover insights that will contribute to a deeper understanding of monetary policy's impact on economic growth in the reg</w:t>
      </w:r>
      <w:r>
        <w:rPr>
          <w:rFonts w:ascii="Times New Roman" w:eastAsia="Times New Roman" w:hAnsi="Times New Roman" w:cs="Times New Roman"/>
          <w:sz w:val="24"/>
        </w:rPr>
        <w:t>ion, ultimately informing subsequent stages of research. The tables below summarize the descriptive statistics, offering a snapshot of the data's central tendency and distribution.</w:t>
      </w:r>
    </w:p>
    <w:p w:rsidR="00DF0840" w:rsidRDefault="00DF0840">
      <w:pPr>
        <w:spacing w:after="0" w:line="360" w:lineRule="auto"/>
        <w:jc w:val="both"/>
        <w:rPr>
          <w:rFonts w:ascii="Times New Roman" w:eastAsia="Times New Roman" w:hAnsi="Times New Roman" w:cs="Times New Roman"/>
          <w:b/>
          <w:sz w:val="24"/>
        </w:rPr>
      </w:pP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TABLE 1</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SUMMARY TABLES</w:t>
      </w:r>
    </w:p>
    <w:tbl>
      <w:tblPr>
        <w:tblW w:w="0" w:type="auto"/>
        <w:tblInd w:w="98" w:type="dxa"/>
        <w:tblCellMar>
          <w:left w:w="10" w:type="dxa"/>
          <w:right w:w="10" w:type="dxa"/>
        </w:tblCellMar>
        <w:tblLook w:val="0000" w:firstRow="0" w:lastRow="0" w:firstColumn="0" w:lastColumn="0" w:noHBand="0" w:noVBand="0"/>
      </w:tblPr>
      <w:tblGrid>
        <w:gridCol w:w="1136"/>
        <w:gridCol w:w="1127"/>
        <w:gridCol w:w="1127"/>
        <w:gridCol w:w="1216"/>
        <w:gridCol w:w="1180"/>
        <w:gridCol w:w="1127"/>
        <w:gridCol w:w="1483"/>
      </w:tblGrid>
      <w:tr w:rsidR="00DF0840">
        <w:tblPrEx>
          <w:tblCellMar>
            <w:top w:w="0" w:type="dxa"/>
            <w:bottom w:w="0" w:type="dxa"/>
          </w:tblCellMar>
        </w:tblPrEx>
        <w:trPr>
          <w:trHeight w:val="1"/>
        </w:trPr>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Variables</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Mean</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Median</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Maximum</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Minimum</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proofErr w:type="spellStart"/>
            <w:r>
              <w:rPr>
                <w:rFonts w:ascii="Times New Roman" w:eastAsia="Times New Roman" w:hAnsi="Times New Roman" w:cs="Times New Roman"/>
                <w:sz w:val="24"/>
              </w:rPr>
              <w:t>Std.Dev</w:t>
            </w:r>
            <w:proofErr w:type="spellEnd"/>
            <w:r>
              <w:rPr>
                <w:rFonts w:ascii="Times New Roman" w:eastAsia="Times New Roman" w:hAnsi="Times New Roman" w:cs="Times New Roman"/>
                <w:sz w:val="24"/>
              </w:rPr>
              <w:t>.</w:t>
            </w:r>
          </w:p>
        </w:tc>
        <w:tc>
          <w:tcPr>
            <w:tcW w:w="1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Observations</w:t>
            </w:r>
          </w:p>
        </w:tc>
      </w:tr>
      <w:tr w:rsidR="00DF0840">
        <w:tblPrEx>
          <w:tblCellMar>
            <w:top w:w="0" w:type="dxa"/>
            <w:bottom w:w="0" w:type="dxa"/>
          </w:tblCellMar>
        </w:tblPrEx>
        <w:trPr>
          <w:trHeight w:val="1"/>
        </w:trPr>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FDI</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1.12</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5.576203</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4.07</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-3.19</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3.62</w:t>
            </w:r>
          </w:p>
        </w:tc>
        <w:tc>
          <w:tcPr>
            <w:tcW w:w="1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165</w:t>
            </w:r>
          </w:p>
        </w:tc>
      </w:tr>
      <w:tr w:rsidR="00DF0840">
        <w:tblPrEx>
          <w:tblCellMar>
            <w:top w:w="0" w:type="dxa"/>
            <w:bottom w:w="0" w:type="dxa"/>
          </w:tblCellMar>
        </w:tblPrEx>
        <w:trPr>
          <w:trHeight w:val="1"/>
        </w:trPr>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GDP Deflator</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159.5692</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110.7198</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5481.886</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6.498030</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436.6168</w:t>
            </w:r>
          </w:p>
        </w:tc>
        <w:tc>
          <w:tcPr>
            <w:tcW w:w="1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165</w:t>
            </w:r>
          </w:p>
        </w:tc>
      </w:tr>
      <w:tr w:rsidR="00DF0840">
        <w:tblPrEx>
          <w:tblCellMar>
            <w:top w:w="0" w:type="dxa"/>
            <w:bottom w:w="0" w:type="dxa"/>
          </w:tblCellMar>
        </w:tblPrEx>
        <w:trPr>
          <w:trHeight w:val="1"/>
        </w:trPr>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Inflation</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15.87642</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6.952172</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604.9459</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-21.16523</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56.12352</w:t>
            </w:r>
          </w:p>
        </w:tc>
        <w:tc>
          <w:tcPr>
            <w:tcW w:w="1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165</w:t>
            </w:r>
          </w:p>
        </w:tc>
      </w:tr>
      <w:tr w:rsidR="00DF0840">
        <w:tblPrEx>
          <w:tblCellMar>
            <w:top w:w="0" w:type="dxa"/>
            <w:bottom w:w="0" w:type="dxa"/>
          </w:tblCellMar>
        </w:tblPrEx>
        <w:trPr>
          <w:trHeight w:val="1"/>
        </w:trPr>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 xml:space="preserve">Political </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6.630785</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7.000000</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9.000000</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3.000000</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1.423911</w:t>
            </w:r>
          </w:p>
        </w:tc>
        <w:tc>
          <w:tcPr>
            <w:tcW w:w="1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165</w:t>
            </w:r>
          </w:p>
        </w:tc>
      </w:tr>
    </w:tbl>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information presented in the table above provides a concise overview of the explanatory variables utilized, with the extreme values serving as indicators of outliers within the data set. With the exception of Political stability, which exhibit a negati</w:t>
      </w:r>
      <w:r>
        <w:rPr>
          <w:rFonts w:ascii="Times New Roman" w:eastAsia="Times New Roman" w:hAnsi="Times New Roman" w:cs="Times New Roman"/>
          <w:sz w:val="24"/>
        </w:rPr>
        <w:t xml:space="preserve">ve skew, all other variables demonstrate a positive </w:t>
      </w:r>
      <w:proofErr w:type="spellStart"/>
      <w:r>
        <w:rPr>
          <w:rFonts w:ascii="Times New Roman" w:eastAsia="Times New Roman" w:hAnsi="Times New Roman" w:cs="Times New Roman"/>
          <w:sz w:val="24"/>
        </w:rPr>
        <w:t>Skewness</w:t>
      </w:r>
      <w:proofErr w:type="spellEnd"/>
      <w:r>
        <w:rPr>
          <w:rFonts w:ascii="Times New Roman" w:eastAsia="Times New Roman" w:hAnsi="Times New Roman" w:cs="Times New Roman"/>
          <w:sz w:val="24"/>
        </w:rPr>
        <w:t>, indicating a greater frequency of lower values compared to the mean. The probability suggests that none of the variables follow a normal distribution and that they possess high statistical signi</w:t>
      </w:r>
      <w:r>
        <w:rPr>
          <w:rFonts w:ascii="Times New Roman" w:eastAsia="Times New Roman" w:hAnsi="Times New Roman" w:cs="Times New Roman"/>
          <w:sz w:val="24"/>
        </w:rPr>
        <w:t>ficance.</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TABLE 2</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table consists of a summary of dependent variable by the year (Bank Non-Performing loans).</w:t>
      </w:r>
    </w:p>
    <w:tbl>
      <w:tblPr>
        <w:tblW w:w="0" w:type="auto"/>
        <w:tblInd w:w="98" w:type="dxa"/>
        <w:tblCellMar>
          <w:left w:w="10" w:type="dxa"/>
          <w:right w:w="10" w:type="dxa"/>
        </w:tblCellMar>
        <w:tblLook w:val="0000" w:firstRow="0" w:lastRow="0" w:firstColumn="0" w:lastColumn="0" w:noHBand="0" w:noVBand="0"/>
      </w:tblPr>
      <w:tblGrid>
        <w:gridCol w:w="601"/>
        <w:gridCol w:w="605"/>
        <w:gridCol w:w="649"/>
        <w:gridCol w:w="806"/>
        <w:gridCol w:w="783"/>
        <w:gridCol w:w="712"/>
        <w:gridCol w:w="775"/>
        <w:gridCol w:w="736"/>
        <w:gridCol w:w="633"/>
        <w:gridCol w:w="846"/>
        <w:gridCol w:w="676"/>
        <w:gridCol w:w="747"/>
        <w:gridCol w:w="909"/>
      </w:tblGrid>
      <w:tr w:rsidR="00DF0840">
        <w:tblPrEx>
          <w:tblCellMar>
            <w:top w:w="0" w:type="dxa"/>
            <w:bottom w:w="0" w:type="dxa"/>
          </w:tblCellMar>
        </w:tblPrEx>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 xml:space="preserve"> YEAR</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 xml:space="preserve"> Mean</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Median</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Maximum</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Minimum</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proofErr w:type="spellStart"/>
            <w:r>
              <w:rPr>
                <w:rFonts w:ascii="Times New Roman" w:eastAsia="Times New Roman" w:hAnsi="Times New Roman" w:cs="Times New Roman"/>
                <w:sz w:val="24"/>
              </w:rPr>
              <w:t>Std.Dev</w:t>
            </w:r>
            <w:proofErr w:type="spellEnd"/>
            <w:r>
              <w:rPr>
                <w:rFonts w:ascii="Times New Roman" w:eastAsia="Times New Roman" w:hAnsi="Times New Roman" w:cs="Times New Roman"/>
                <w:sz w:val="24"/>
              </w:rPr>
              <w:t>.</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proofErr w:type="spellStart"/>
            <w:r>
              <w:rPr>
                <w:rFonts w:ascii="Times New Roman" w:eastAsia="Times New Roman" w:hAnsi="Times New Roman" w:cs="Times New Roman"/>
                <w:sz w:val="24"/>
              </w:rPr>
              <w:t>Skewness</w:t>
            </w:r>
            <w:proofErr w:type="spellEnd"/>
            <w:r>
              <w:rPr>
                <w:rFonts w:ascii="Times New Roman" w:eastAsia="Times New Roman" w:hAnsi="Times New Roman" w:cs="Times New Roman"/>
                <w:sz w:val="24"/>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proofErr w:type="spellStart"/>
            <w:r>
              <w:rPr>
                <w:rFonts w:ascii="Times New Roman" w:eastAsia="Times New Roman" w:hAnsi="Times New Roman" w:cs="Times New Roman"/>
                <w:sz w:val="24"/>
              </w:rPr>
              <w:t>Kurtoisis</w:t>
            </w:r>
            <w:proofErr w:type="spellEnd"/>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proofErr w:type="spellStart"/>
            <w:r>
              <w:rPr>
                <w:rFonts w:ascii="Times New Roman" w:eastAsia="Times New Roman" w:hAnsi="Times New Roman" w:cs="Times New Roman"/>
                <w:sz w:val="24"/>
              </w:rPr>
              <w:t>Jarque-Bera</w:t>
            </w:r>
            <w:proofErr w:type="spellEnd"/>
          </w:p>
        </w:tc>
        <w:tc>
          <w:tcPr>
            <w:tcW w:w="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Probability</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Sum</w:t>
            </w:r>
          </w:p>
        </w:tc>
        <w:tc>
          <w:tcPr>
            <w:tcW w:w="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 xml:space="preserve">Sum </w:t>
            </w:r>
            <w:proofErr w:type="spellStart"/>
            <w:r>
              <w:rPr>
                <w:rFonts w:ascii="Times New Roman" w:eastAsia="Times New Roman" w:hAnsi="Times New Roman" w:cs="Times New Roman"/>
                <w:sz w:val="24"/>
              </w:rPr>
              <w:t>Sq.Dev</w:t>
            </w:r>
            <w:proofErr w:type="spellEnd"/>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Observation</w:t>
            </w:r>
          </w:p>
        </w:tc>
      </w:tr>
      <w:tr w:rsidR="00DF0840">
        <w:tblPrEx>
          <w:tblCellMar>
            <w:top w:w="0" w:type="dxa"/>
            <w:bottom w:w="0" w:type="dxa"/>
          </w:tblCellMar>
        </w:tblPrEx>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2008</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6.570</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6.677</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9.0044</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3.9215</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2.121</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-0.1605</w:t>
            </w:r>
          </w:p>
        </w:tc>
        <w:tc>
          <w:tcPr>
            <w:tcW w:w="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1.855</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0.235</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0.888</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26.280</w:t>
            </w:r>
          </w:p>
        </w:tc>
        <w:tc>
          <w:tcPr>
            <w:tcW w:w="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13.497</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w:t>
            </w:r>
          </w:p>
        </w:tc>
      </w:tr>
      <w:tr w:rsidR="00DF0840">
        <w:tblPrEx>
          <w:tblCellMar>
            <w:top w:w="0" w:type="dxa"/>
            <w:bottom w:w="0" w:type="dxa"/>
          </w:tblCellMar>
        </w:tblPrEx>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2009</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16.044</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6.8155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37.253</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3.019</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15.2578</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0.542</w:t>
            </w:r>
          </w:p>
        </w:tc>
        <w:tc>
          <w:tcPr>
            <w:tcW w:w="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1.523</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0.6995</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0.70484</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80.2228</w:t>
            </w:r>
          </w:p>
        </w:tc>
        <w:tc>
          <w:tcPr>
            <w:tcW w:w="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931.2096</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w:t>
            </w:r>
          </w:p>
        </w:tc>
      </w:tr>
      <w:tr w:rsidR="00DF0840">
        <w:tblPrEx>
          <w:tblCellMar>
            <w:top w:w="0" w:type="dxa"/>
            <w:bottom w:w="0" w:type="dxa"/>
          </w:tblCellMar>
        </w:tblPrEx>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lastRenderedPageBreak/>
              <w:t>2010</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8.315</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5.462</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20.143</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0.696</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7.492</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0.696</w:t>
            </w:r>
          </w:p>
        </w:tc>
        <w:tc>
          <w:tcPr>
            <w:tcW w:w="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1.919</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0.777</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0.677</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49.890</w:t>
            </w:r>
          </w:p>
        </w:tc>
        <w:tc>
          <w:tcPr>
            <w:tcW w:w="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280.673</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w:t>
            </w:r>
          </w:p>
        </w:tc>
      </w:tr>
      <w:tr w:rsidR="00DF0840">
        <w:tblPrEx>
          <w:tblCellMar>
            <w:top w:w="0" w:type="dxa"/>
            <w:bottom w:w="0" w:type="dxa"/>
          </w:tblCellMar>
        </w:tblPrEx>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2011</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4.737</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4.551</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10.376</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1.078</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3.266</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0.710</w:t>
            </w:r>
          </w:p>
        </w:tc>
        <w:tc>
          <w:tcPr>
            <w:tcW w:w="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2.6155</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0.541</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0.762</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28.423</w:t>
            </w:r>
          </w:p>
        </w:tc>
        <w:tc>
          <w:tcPr>
            <w:tcW w:w="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53.345</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w:t>
            </w:r>
          </w:p>
        </w:tc>
      </w:tr>
      <w:tr w:rsidR="00DF0840">
        <w:tblPrEx>
          <w:tblCellMar>
            <w:top w:w="0" w:type="dxa"/>
            <w:bottom w:w="0" w:type="dxa"/>
          </w:tblCellMar>
        </w:tblPrEx>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2012</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3.864</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3.7052</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8.1053</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1.519</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2.143</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3.316</w:t>
            </w:r>
          </w:p>
        </w:tc>
        <w:tc>
          <w:tcPr>
            <w:tcW w:w="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1.390</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0.498</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0.498</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27.049</w:t>
            </w:r>
          </w:p>
        </w:tc>
        <w:tc>
          <w:tcPr>
            <w:tcW w:w="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27.576</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7</w:t>
            </w:r>
          </w:p>
        </w:tc>
      </w:tr>
      <w:tr w:rsidR="00DF0840">
        <w:tblPrEx>
          <w:tblCellMar>
            <w:top w:w="0" w:type="dxa"/>
            <w:bottom w:w="0" w:type="dxa"/>
          </w:tblCellMar>
        </w:tblPrEx>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2013</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3.790</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3.627</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6.958</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1.224</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1.676</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0.498</w:t>
            </w:r>
          </w:p>
        </w:tc>
        <w:tc>
          <w:tcPr>
            <w:tcW w:w="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3.062</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0.331</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0.847</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30.323</w:t>
            </w:r>
          </w:p>
        </w:tc>
        <w:tc>
          <w:tcPr>
            <w:tcW w:w="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19.673</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w:t>
            </w:r>
          </w:p>
        </w:tc>
      </w:tr>
      <w:tr w:rsidR="00DF0840">
        <w:tblPrEx>
          <w:tblCellMar>
            <w:top w:w="0" w:type="dxa"/>
            <w:bottom w:w="0" w:type="dxa"/>
          </w:tblCellMar>
        </w:tblPrEx>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2014</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3.912</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3.397</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6.10</w:t>
            </w:r>
          </w:p>
          <w:p w:rsidR="00DF0840" w:rsidRDefault="00B3023B">
            <w:pPr>
              <w:spacing w:after="0" w:line="360" w:lineRule="auto"/>
              <w:jc w:val="both"/>
            </w:pPr>
            <w:r>
              <w:rPr>
                <w:rFonts w:ascii="Times New Roman" w:eastAsia="Times New Roman" w:hAnsi="Times New Roman" w:cs="Times New Roman"/>
                <w:sz w:val="24"/>
              </w:rPr>
              <w:t>4</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2.506</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1.264</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0.753</w:t>
            </w:r>
          </w:p>
        </w:tc>
        <w:tc>
          <w:tcPr>
            <w:tcW w:w="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2.167</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0.987</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0.610</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31.296</w:t>
            </w:r>
          </w:p>
        </w:tc>
        <w:tc>
          <w:tcPr>
            <w:tcW w:w="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11.187</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w:t>
            </w:r>
          </w:p>
        </w:tc>
      </w:tr>
      <w:tr w:rsidR="00DF0840">
        <w:tblPrEx>
          <w:tblCellMar>
            <w:top w:w="0" w:type="dxa"/>
            <w:bottom w:w="0" w:type="dxa"/>
          </w:tblCellMar>
        </w:tblPrEx>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2015</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4.792</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4.583</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7.279</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3.121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1.330</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0.693</w:t>
            </w:r>
          </w:p>
        </w:tc>
        <w:tc>
          <w:tcPr>
            <w:tcW w:w="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2.591</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0.697</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0.705</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38.342</w:t>
            </w:r>
          </w:p>
        </w:tc>
        <w:tc>
          <w:tcPr>
            <w:tcW w:w="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12.385</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w:t>
            </w:r>
          </w:p>
        </w:tc>
      </w:tr>
      <w:tr w:rsidR="00DF0840">
        <w:tblPrEx>
          <w:tblCellMar>
            <w:top w:w="0" w:type="dxa"/>
            <w:bottom w:w="0" w:type="dxa"/>
          </w:tblCellMar>
        </w:tblPrEx>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2016</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7.026</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6.872</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12.815</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2.857</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3.354</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0.384</w:t>
            </w:r>
          </w:p>
        </w:tc>
        <w:tc>
          <w:tcPr>
            <w:tcW w:w="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2.098</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0.467</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0.791</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56.15</w:t>
            </w:r>
          </w:p>
        </w:tc>
        <w:tc>
          <w:tcPr>
            <w:tcW w:w="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78.781</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w:t>
            </w:r>
          </w:p>
        </w:tc>
      </w:tr>
      <w:tr w:rsidR="00DF0840">
        <w:tblPrEx>
          <w:tblCellMar>
            <w:top w:w="0" w:type="dxa"/>
            <w:bottom w:w="0" w:type="dxa"/>
          </w:tblCellMar>
        </w:tblPrEx>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2017</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9.056</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9.949</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16.185</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2.842</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5.152</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0.048</w:t>
            </w:r>
          </w:p>
        </w:tc>
        <w:tc>
          <w:tcPr>
            <w:tcW w:w="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1.414</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0.946</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0.623</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81.511</w:t>
            </w:r>
          </w:p>
        </w:tc>
        <w:tc>
          <w:tcPr>
            <w:tcW w:w="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212.3808</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9</w:t>
            </w:r>
          </w:p>
        </w:tc>
      </w:tr>
      <w:tr w:rsidR="00DF0840">
        <w:tblPrEx>
          <w:tblCellMar>
            <w:top w:w="0" w:type="dxa"/>
            <w:bottom w:w="0" w:type="dxa"/>
          </w:tblCellMar>
        </w:tblPrEx>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.2018</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9.406</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10.951</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22.508</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3.560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6.167</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0.933</w:t>
            </w:r>
          </w:p>
        </w:tc>
        <w:tc>
          <w:tcPr>
            <w:tcW w:w="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3.218</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1.326</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0.515</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84.654</w:t>
            </w:r>
          </w:p>
        </w:tc>
        <w:tc>
          <w:tcPr>
            <w:tcW w:w="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304.260</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9</w:t>
            </w:r>
          </w:p>
        </w:tc>
      </w:tr>
      <w:tr w:rsidR="00DF0840">
        <w:tblPrEx>
          <w:tblCellMar>
            <w:top w:w="0" w:type="dxa"/>
            <w:bottom w:w="0" w:type="dxa"/>
          </w:tblCellMar>
        </w:tblPrEx>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2018</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8.560</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6.034</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27.539</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2.657</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7.657</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1.866</w:t>
            </w:r>
          </w:p>
        </w:tc>
        <w:tc>
          <w:tcPr>
            <w:tcW w:w="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5.418</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7.420</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0.042</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77.040</w:t>
            </w:r>
          </w:p>
        </w:tc>
        <w:tc>
          <w:tcPr>
            <w:tcW w:w="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469.064</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9</w:t>
            </w:r>
          </w:p>
        </w:tc>
      </w:tr>
      <w:tr w:rsidR="00DF0840">
        <w:tblPrEx>
          <w:tblCellMar>
            <w:top w:w="0" w:type="dxa"/>
            <w:bottom w:w="0" w:type="dxa"/>
          </w:tblCellMar>
        </w:tblPrEx>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2019</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8.560</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6.034</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27.539</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2.671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7.657</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1.866</w:t>
            </w:r>
          </w:p>
        </w:tc>
        <w:tc>
          <w:tcPr>
            <w:tcW w:w="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5.418</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7.420</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0.024</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77.040</w:t>
            </w:r>
          </w:p>
        </w:tc>
        <w:tc>
          <w:tcPr>
            <w:tcW w:w="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469.064</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9</w:t>
            </w:r>
          </w:p>
        </w:tc>
      </w:tr>
      <w:tr w:rsidR="00DF0840">
        <w:tblPrEx>
          <w:tblCellMar>
            <w:top w:w="0" w:type="dxa"/>
            <w:bottom w:w="0" w:type="dxa"/>
          </w:tblCellMar>
        </w:tblPrEx>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2020</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8.615</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6.024</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21.046</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3.429</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5.690</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1.167</w:t>
            </w:r>
          </w:p>
        </w:tc>
        <w:tc>
          <w:tcPr>
            <w:tcW w:w="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3.447</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2.119</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0.346</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2.119</w:t>
            </w:r>
          </w:p>
        </w:tc>
        <w:tc>
          <w:tcPr>
            <w:tcW w:w="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259.071</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9</w:t>
            </w:r>
          </w:p>
        </w:tc>
      </w:tr>
      <w:tr w:rsidR="00DF0840">
        <w:tblPrEx>
          <w:tblCellMar>
            <w:top w:w="0" w:type="dxa"/>
            <w:bottom w:w="0" w:type="dxa"/>
          </w:tblCellMar>
        </w:tblPrEx>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2021</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7.475</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5.414</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16.854</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4.065</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4.388</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1.199</w:t>
            </w:r>
          </w:p>
        </w:tc>
        <w:tc>
          <w:tcPr>
            <w:tcW w:w="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3.170</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2.170</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0.337</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67.275</w:t>
            </w:r>
          </w:p>
        </w:tc>
        <w:tc>
          <w:tcPr>
            <w:tcW w:w="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154.074</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9</w:t>
            </w:r>
          </w:p>
        </w:tc>
      </w:tr>
      <w:tr w:rsidR="00DF0840">
        <w:tblPrEx>
          <w:tblCellMar>
            <w:top w:w="0" w:type="dxa"/>
            <w:bottom w:w="0" w:type="dxa"/>
          </w:tblCellMar>
        </w:tblPrEx>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2022</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5.796</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4.163</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911.108</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3.752</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3.548</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1.140</w:t>
            </w:r>
          </w:p>
        </w:tc>
        <w:tc>
          <w:tcPr>
            <w:tcW w:w="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2.322</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0.943</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0.623</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23.187</w:t>
            </w:r>
          </w:p>
        </w:tc>
        <w:tc>
          <w:tcPr>
            <w:tcW w:w="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37.777</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w:t>
            </w:r>
          </w:p>
        </w:tc>
      </w:tr>
    </w:tbl>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Table 2 demonstrates that the average amount of non-performing loans in banks varies from year to year across all countries. The minimum and maximum values observed in each year are positive. From 2009 to 2022, the data exhibited a positive </w:t>
      </w:r>
      <w:proofErr w:type="spellStart"/>
      <w:r>
        <w:rPr>
          <w:rFonts w:ascii="Times New Roman" w:eastAsia="Times New Roman" w:hAnsi="Times New Roman" w:cs="Times New Roman"/>
          <w:sz w:val="24"/>
        </w:rPr>
        <w:t>Skewness</w:t>
      </w:r>
      <w:proofErr w:type="spellEnd"/>
      <w:r>
        <w:rPr>
          <w:rFonts w:ascii="Times New Roman" w:eastAsia="Times New Roman" w:hAnsi="Times New Roman" w:cs="Times New Roman"/>
          <w:sz w:val="24"/>
        </w:rPr>
        <w:t>, excep</w:t>
      </w:r>
      <w:r>
        <w:rPr>
          <w:rFonts w:ascii="Times New Roman" w:eastAsia="Times New Roman" w:hAnsi="Times New Roman" w:cs="Times New Roman"/>
          <w:sz w:val="24"/>
        </w:rPr>
        <w:t xml:space="preserve">t for 2008 when it showed a negative </w:t>
      </w:r>
      <w:proofErr w:type="spellStart"/>
      <w:r>
        <w:rPr>
          <w:rFonts w:ascii="Times New Roman" w:eastAsia="Times New Roman" w:hAnsi="Times New Roman" w:cs="Times New Roman"/>
          <w:sz w:val="24"/>
        </w:rPr>
        <w:t>Skewness</w:t>
      </w:r>
      <w:proofErr w:type="spellEnd"/>
      <w:r>
        <w:rPr>
          <w:rFonts w:ascii="Times New Roman" w:eastAsia="Times New Roman" w:hAnsi="Times New Roman" w:cs="Times New Roman"/>
          <w:sz w:val="24"/>
        </w:rPr>
        <w:t>. In most years, the data was distributed relatively evenly around the sample, with a peaked distribution.</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TABLE 3</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table contains a summary of Interest rate spread by year.</w:t>
      </w:r>
    </w:p>
    <w:tbl>
      <w:tblPr>
        <w:tblW w:w="0" w:type="auto"/>
        <w:tblInd w:w="98" w:type="dxa"/>
        <w:tblCellMar>
          <w:left w:w="10" w:type="dxa"/>
          <w:right w:w="10" w:type="dxa"/>
        </w:tblCellMar>
        <w:tblLook w:val="0000" w:firstRow="0" w:lastRow="0" w:firstColumn="0" w:lastColumn="0" w:noHBand="0" w:noVBand="0"/>
      </w:tblPr>
      <w:tblGrid>
        <w:gridCol w:w="750"/>
        <w:gridCol w:w="755"/>
        <w:gridCol w:w="816"/>
        <w:gridCol w:w="756"/>
        <w:gridCol w:w="658"/>
        <w:gridCol w:w="756"/>
        <w:gridCol w:w="658"/>
        <w:gridCol w:w="674"/>
        <w:gridCol w:w="658"/>
        <w:gridCol w:w="658"/>
        <w:gridCol w:w="854"/>
        <w:gridCol w:w="952"/>
        <w:gridCol w:w="533"/>
      </w:tblGrid>
      <w:tr w:rsidR="00DF0840">
        <w:tblPrEx>
          <w:tblCellMar>
            <w:top w:w="0" w:type="dxa"/>
            <w:bottom w:w="0" w:type="dxa"/>
          </w:tblCellMar>
        </w:tblPrEx>
        <w:trPr>
          <w:trHeight w:val="1"/>
        </w:trPr>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YEAR</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Mean</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Median</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Maxi</w:t>
            </w:r>
          </w:p>
          <w:p w:rsidR="00DF0840" w:rsidRDefault="00B3023B">
            <w:pPr>
              <w:spacing w:after="0" w:line="360" w:lineRule="auto"/>
              <w:jc w:val="both"/>
            </w:pPr>
            <w:r>
              <w:rPr>
                <w:rFonts w:ascii="Times New Roman" w:eastAsia="Times New Roman" w:hAnsi="Times New Roman" w:cs="Times New Roman"/>
                <w:sz w:val="24"/>
              </w:rPr>
              <w:t>mum</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Mini</w:t>
            </w:r>
          </w:p>
          <w:p w:rsidR="00DF0840" w:rsidRDefault="00B3023B">
            <w:pPr>
              <w:spacing w:after="0" w:line="360" w:lineRule="auto"/>
              <w:jc w:val="both"/>
            </w:pPr>
            <w:r>
              <w:rPr>
                <w:rFonts w:ascii="Times New Roman" w:eastAsia="Times New Roman" w:hAnsi="Times New Roman" w:cs="Times New Roman"/>
                <w:sz w:val="24"/>
              </w:rPr>
              <w:t>mum</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proofErr w:type="spellStart"/>
            <w:r>
              <w:rPr>
                <w:rFonts w:ascii="Times New Roman" w:eastAsia="Times New Roman" w:hAnsi="Times New Roman" w:cs="Times New Roman"/>
                <w:sz w:val="24"/>
              </w:rPr>
              <w:t>St.Dev</w:t>
            </w:r>
            <w:proofErr w:type="spellEnd"/>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Skew</w:t>
            </w:r>
          </w:p>
          <w:p w:rsidR="00DF0840" w:rsidRDefault="00B3023B">
            <w:pPr>
              <w:spacing w:after="0" w:line="360" w:lineRule="auto"/>
              <w:jc w:val="both"/>
            </w:pPr>
            <w:r>
              <w:rPr>
                <w:rFonts w:ascii="Times New Roman" w:eastAsia="Times New Roman" w:hAnsi="Times New Roman" w:cs="Times New Roman"/>
                <w:sz w:val="24"/>
              </w:rPr>
              <w:t>ness</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Kurto</w:t>
            </w:r>
            <w:proofErr w:type="spellEnd"/>
          </w:p>
          <w:p w:rsidR="00DF0840" w:rsidRDefault="00B3023B">
            <w:pPr>
              <w:spacing w:after="0" w:line="360" w:lineRule="auto"/>
              <w:jc w:val="both"/>
            </w:pPr>
            <w:r>
              <w:rPr>
                <w:rFonts w:ascii="Times New Roman" w:eastAsia="Times New Roman" w:hAnsi="Times New Roman" w:cs="Times New Roman"/>
                <w:sz w:val="24"/>
              </w:rPr>
              <w:t>sis</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Jarq</w:t>
            </w:r>
            <w:proofErr w:type="spellEnd"/>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Bera</w:t>
            </w:r>
            <w:proofErr w:type="spellEnd"/>
          </w:p>
          <w:p w:rsidR="00DF0840" w:rsidRDefault="00DF0840">
            <w:pPr>
              <w:spacing w:after="0" w:line="360" w:lineRule="auto"/>
              <w:jc w:val="both"/>
            </w:pP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Prob</w:t>
            </w:r>
            <w:proofErr w:type="spellEnd"/>
          </w:p>
          <w:p w:rsidR="00DF0840" w:rsidRDefault="00B3023B">
            <w:pPr>
              <w:spacing w:after="0" w:line="360" w:lineRule="auto"/>
              <w:jc w:val="both"/>
            </w:pPr>
            <w:proofErr w:type="spellStart"/>
            <w:r>
              <w:rPr>
                <w:rFonts w:ascii="Times New Roman" w:eastAsia="Times New Roman" w:hAnsi="Times New Roman" w:cs="Times New Roman"/>
                <w:sz w:val="24"/>
              </w:rPr>
              <w:t>ility</w:t>
            </w:r>
            <w:proofErr w:type="spellEnd"/>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Sum</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Sum</w:t>
            </w: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Sq</w:t>
            </w:r>
            <w:proofErr w:type="spellEnd"/>
          </w:p>
          <w:p w:rsidR="00DF0840" w:rsidRDefault="00B3023B">
            <w:pPr>
              <w:spacing w:after="0" w:line="360" w:lineRule="auto"/>
              <w:jc w:val="both"/>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dev</w:t>
            </w:r>
            <w:proofErr w:type="spellEnd"/>
          </w:p>
        </w:tc>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proofErr w:type="spellStart"/>
            <w:r>
              <w:rPr>
                <w:rFonts w:ascii="Times New Roman" w:eastAsia="Times New Roman" w:hAnsi="Times New Roman" w:cs="Times New Roman"/>
                <w:sz w:val="24"/>
              </w:rPr>
              <w:t>Obs</w:t>
            </w:r>
            <w:proofErr w:type="spellEnd"/>
          </w:p>
        </w:tc>
      </w:tr>
      <w:tr w:rsidR="00DF0840">
        <w:tblPrEx>
          <w:tblCellMar>
            <w:top w:w="0" w:type="dxa"/>
            <w:bottom w:w="0" w:type="dxa"/>
          </w:tblCellMar>
        </w:tblPrEx>
        <w:trPr>
          <w:trHeight w:val="1"/>
        </w:trPr>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2008</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5.770</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7.325</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12.513</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-3.140</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4.546</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-0.39</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2.839</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0.446</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0.799</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51.932</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165.390</w:t>
            </w:r>
          </w:p>
        </w:tc>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9</w:t>
            </w:r>
          </w:p>
        </w:tc>
      </w:tr>
      <w:tr w:rsidR="00DF0840">
        <w:tblPrEx>
          <w:tblCellMar>
            <w:top w:w="0" w:type="dxa"/>
            <w:bottom w:w="0" w:type="dxa"/>
          </w:tblCellMar>
        </w:tblPrEx>
        <w:trPr>
          <w:trHeight w:val="1"/>
        </w:trPr>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2009</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6.250</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6.219</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14.972</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-3.601</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5.250</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-0.314</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3.298</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0.922</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0.161</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50.001</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192.976</w:t>
            </w:r>
          </w:p>
        </w:tc>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w:t>
            </w:r>
          </w:p>
        </w:tc>
      </w:tr>
      <w:tr w:rsidR="00DF0840">
        <w:tblPrEx>
          <w:tblCellMar>
            <w:top w:w="0" w:type="dxa"/>
            <w:bottom w:w="0" w:type="dxa"/>
          </w:tblCellMar>
        </w:tblPrEx>
        <w:trPr>
          <w:trHeight w:val="1"/>
        </w:trPr>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2010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6.808</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7.058</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13.516</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-3.273</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5.170</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-0.729</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2.949</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0.709</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0.701</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54.467</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187.107</w:t>
            </w:r>
          </w:p>
        </w:tc>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DF0840">
            <w:pPr>
              <w:spacing w:after="0" w:line="360" w:lineRule="auto"/>
              <w:jc w:val="both"/>
              <w:rPr>
                <w:rFonts w:ascii="Calibri" w:eastAsia="Calibri" w:hAnsi="Calibri" w:cs="Calibri"/>
              </w:rPr>
            </w:pPr>
          </w:p>
        </w:tc>
      </w:tr>
      <w:tr w:rsidR="00DF0840">
        <w:tblPrEx>
          <w:tblCellMar>
            <w:top w:w="0" w:type="dxa"/>
            <w:bottom w:w="0" w:type="dxa"/>
          </w:tblCellMar>
        </w:tblPrEx>
        <w:trPr>
          <w:trHeight w:val="1"/>
        </w:trPr>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2011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6.418</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6.925</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11.812</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-3.244</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4.757</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-0.972</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3.178</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1.272</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0.529</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51.344</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158.452</w:t>
            </w:r>
          </w:p>
        </w:tc>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w:t>
            </w:r>
          </w:p>
        </w:tc>
      </w:tr>
      <w:tr w:rsidR="00DF0840">
        <w:tblPrEx>
          <w:tblCellMar>
            <w:top w:w="0" w:type="dxa"/>
            <w:bottom w:w="0" w:type="dxa"/>
          </w:tblCellMar>
        </w:tblPrEx>
        <w:trPr>
          <w:trHeight w:val="1"/>
        </w:trPr>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2012</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5.261</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6.325</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8.386</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-2.953</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3.741</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-1.426</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3.974</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3.030</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0.219</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42.091</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97.994</w:t>
            </w:r>
          </w:p>
        </w:tc>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DF0840">
            <w:pPr>
              <w:spacing w:after="0" w:line="360" w:lineRule="auto"/>
              <w:jc w:val="both"/>
              <w:rPr>
                <w:rFonts w:ascii="Calibri" w:eastAsia="Calibri" w:hAnsi="Calibri" w:cs="Calibri"/>
              </w:rPr>
            </w:pPr>
          </w:p>
        </w:tc>
      </w:tr>
      <w:tr w:rsidR="00DF0840">
        <w:tblPrEx>
          <w:tblCellMar>
            <w:top w:w="0" w:type="dxa"/>
            <w:bottom w:w="0" w:type="dxa"/>
          </w:tblCellMar>
        </w:tblPrEx>
        <w:trPr>
          <w:trHeight w:val="1"/>
        </w:trPr>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2013</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5.007</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6.52</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8.777</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-2.36</w:t>
            </w:r>
            <w:r>
              <w:rPr>
                <w:rFonts w:ascii="Times New Roman" w:eastAsia="Times New Roman" w:hAnsi="Times New Roman" w:cs="Times New Roman"/>
                <w:sz w:val="24"/>
              </w:rPr>
              <w:lastRenderedPageBreak/>
              <w:t>6</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lastRenderedPageBreak/>
              <w:t>3.984</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-0.84</w:t>
            </w:r>
            <w:r>
              <w:rPr>
                <w:rFonts w:ascii="Times New Roman" w:eastAsia="Times New Roman" w:hAnsi="Times New Roman" w:cs="Times New Roman"/>
                <w:sz w:val="24"/>
              </w:rPr>
              <w:lastRenderedPageBreak/>
              <w:t>9</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lastRenderedPageBreak/>
              <w:t>2.613</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0.885</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0.642</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35.0555</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95.241</w:t>
            </w:r>
          </w:p>
        </w:tc>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7</w:t>
            </w:r>
          </w:p>
        </w:tc>
      </w:tr>
      <w:tr w:rsidR="00DF0840">
        <w:tblPrEx>
          <w:tblCellMar>
            <w:top w:w="0" w:type="dxa"/>
            <w:bottom w:w="0" w:type="dxa"/>
          </w:tblCellMar>
        </w:tblPrEx>
        <w:trPr>
          <w:trHeight w:val="1"/>
        </w:trPr>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lastRenderedPageBreak/>
              <w:t>2014</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5.094</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6.342</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8.140</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-1.920</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3.328</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-1.224</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3.439</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2.062</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0.356</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40.752</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77.545</w:t>
            </w:r>
          </w:p>
        </w:tc>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w:t>
            </w:r>
          </w:p>
        </w:tc>
      </w:tr>
      <w:tr w:rsidR="00DF0840">
        <w:tblPrEx>
          <w:tblCellMar>
            <w:top w:w="0" w:type="dxa"/>
            <w:bottom w:w="0" w:type="dxa"/>
          </w:tblCellMar>
        </w:tblPrEx>
        <w:trPr>
          <w:trHeight w:val="1"/>
        </w:trPr>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2015</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4.681</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5.447</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8.235</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-1.844</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3.218</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-0.857</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2.828</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1.113</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0.573</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42.129</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82.846</w:t>
            </w:r>
          </w:p>
        </w:tc>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9</w:t>
            </w:r>
          </w:p>
        </w:tc>
      </w:tr>
      <w:tr w:rsidR="00DF0840">
        <w:tblPrEx>
          <w:tblCellMar>
            <w:top w:w="0" w:type="dxa"/>
            <w:bottom w:w="0" w:type="dxa"/>
          </w:tblCellMar>
        </w:tblPrEx>
        <w:trPr>
          <w:trHeight w:val="1"/>
        </w:trPr>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2016</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5.856</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5.176</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10.469</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-1.630</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4.046</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-0.432</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2.259</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0.485</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0.784</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52.709</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131.013</w:t>
            </w:r>
          </w:p>
        </w:tc>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9</w:t>
            </w:r>
          </w:p>
        </w:tc>
      </w:tr>
      <w:tr w:rsidR="00DF0840">
        <w:tblPrEx>
          <w:tblCellMar>
            <w:top w:w="0" w:type="dxa"/>
            <w:bottom w:w="0" w:type="dxa"/>
          </w:tblCellMar>
        </w:tblPrEx>
        <w:trPr>
          <w:trHeight w:val="1"/>
        </w:trPr>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2017</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5.495</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5.430</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10.765</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-1.350</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3.839</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-0.166</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3.347</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0.200</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0.904</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49.458</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117.950</w:t>
            </w:r>
          </w:p>
        </w:tc>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DF0840">
            <w:pPr>
              <w:spacing w:after="0" w:line="360" w:lineRule="auto"/>
              <w:jc w:val="both"/>
              <w:rPr>
                <w:rFonts w:ascii="Calibri" w:eastAsia="Calibri" w:hAnsi="Calibri" w:cs="Calibri"/>
              </w:rPr>
            </w:pPr>
          </w:p>
        </w:tc>
      </w:tr>
      <w:tr w:rsidR="00DF0840">
        <w:tblPrEx>
          <w:tblCellMar>
            <w:top w:w="0" w:type="dxa"/>
            <w:bottom w:w="0" w:type="dxa"/>
          </w:tblCellMar>
        </w:tblPrEx>
        <w:trPr>
          <w:trHeight w:val="1"/>
        </w:trPr>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2018</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5.877</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4.873</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9.960</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2.991</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2.695</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0.509</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1.780</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0.841</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0.656</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47.017</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50.845</w:t>
            </w:r>
          </w:p>
        </w:tc>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w:t>
            </w:r>
          </w:p>
        </w:tc>
      </w:tr>
      <w:tr w:rsidR="00DF0840">
        <w:tblPrEx>
          <w:tblCellMar>
            <w:top w:w="0" w:type="dxa"/>
            <w:bottom w:w="0" w:type="dxa"/>
          </w:tblCellMar>
        </w:tblPrEx>
        <w:trPr>
          <w:trHeight w:val="1"/>
        </w:trPr>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2019</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6.766</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5.705</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13.206</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2.005</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3.837</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0.412</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1.961</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0.585</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0.746</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54.130</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103.098</w:t>
            </w:r>
          </w:p>
        </w:tc>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w:t>
            </w:r>
          </w:p>
        </w:tc>
      </w:tr>
      <w:tr w:rsidR="00DF0840">
        <w:tblPrEx>
          <w:tblCellMar>
            <w:top w:w="0" w:type="dxa"/>
            <w:bottom w:w="0" w:type="dxa"/>
          </w:tblCellMar>
        </w:tblPrEx>
        <w:trPr>
          <w:trHeight w:val="1"/>
        </w:trPr>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2020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8.456</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6.045</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28.490</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0.763</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8.682</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1.701</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4.770</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4.904</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0.086</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67.650</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527.739</w:t>
            </w:r>
          </w:p>
        </w:tc>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w:t>
            </w:r>
          </w:p>
        </w:tc>
      </w:tr>
      <w:tr w:rsidR="00DF0840">
        <w:tblPrEx>
          <w:tblCellMar>
            <w:top w:w="0" w:type="dxa"/>
            <w:bottom w:w="0" w:type="dxa"/>
          </w:tblCellMar>
        </w:tblPrEx>
        <w:trPr>
          <w:trHeight w:val="1"/>
        </w:trPr>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2021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10.689</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6.546</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37.417</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3.226</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12.071</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1.851</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4.732</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4.874</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0.087</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74.828</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874.388</w:t>
            </w:r>
          </w:p>
        </w:tc>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7</w:t>
            </w:r>
          </w:p>
        </w:tc>
      </w:tr>
      <w:tr w:rsidR="00DF0840">
        <w:tblPrEx>
          <w:tblCellMar>
            <w:top w:w="0" w:type="dxa"/>
            <w:bottom w:w="0" w:type="dxa"/>
          </w:tblCellMar>
        </w:tblPrEx>
        <w:trPr>
          <w:trHeight w:val="1"/>
        </w:trPr>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2022</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19.528</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6.371</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97.093</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3.725</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34.318</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2.013</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5.102</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6.017</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0.049</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136.699</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7066.728</w:t>
            </w:r>
          </w:p>
        </w:tc>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7</w:t>
            </w:r>
          </w:p>
        </w:tc>
      </w:tr>
    </w:tbl>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average interest rate spread across the 11 selected countries falls within the range of 4.68 to 19.528. With the exception of 2008, the data demonstrates a positive skew, indicating a tendency towards higher interest rate spreads. The observations them</w:t>
      </w:r>
      <w:r>
        <w:rPr>
          <w:rFonts w:ascii="Times New Roman" w:eastAsia="Times New Roman" w:hAnsi="Times New Roman" w:cs="Times New Roman"/>
          <w:sz w:val="24"/>
        </w:rPr>
        <w:t>selves vary between 7 and 9, while the standard deviation ranges from 2.69 to 12. These findings suggest that there is a consistent pattern of growth in interest rate spreads across all countries.</w:t>
      </w: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TABLE 4</w:t>
      </w:r>
    </w:p>
    <w:p w:rsidR="00DF0840" w:rsidRDefault="00DF0840">
      <w:pPr>
        <w:spacing w:after="0" w:line="360" w:lineRule="auto"/>
        <w:jc w:val="both"/>
        <w:rPr>
          <w:rFonts w:ascii="Calibri" w:eastAsia="Calibri" w:hAnsi="Calibri" w:cs="Calibri"/>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Fixed effects </w:t>
      </w:r>
    </w:p>
    <w:tbl>
      <w:tblPr>
        <w:tblW w:w="0" w:type="auto"/>
        <w:tblInd w:w="98" w:type="dxa"/>
        <w:tblCellMar>
          <w:left w:w="10" w:type="dxa"/>
          <w:right w:w="10" w:type="dxa"/>
        </w:tblCellMar>
        <w:tblLook w:val="0000" w:firstRow="0" w:lastRow="0" w:firstColumn="0" w:lastColumn="0" w:noHBand="0" w:noVBand="0"/>
      </w:tblPr>
      <w:tblGrid>
        <w:gridCol w:w="1744"/>
        <w:gridCol w:w="1656"/>
        <w:gridCol w:w="1666"/>
        <w:gridCol w:w="1658"/>
        <w:gridCol w:w="1608"/>
      </w:tblGrid>
      <w:tr w:rsidR="00DF0840">
        <w:tblPrEx>
          <w:tblCellMar>
            <w:top w:w="0" w:type="dxa"/>
            <w:bottom w:w="0" w:type="dxa"/>
          </w:tblCellMar>
        </w:tblPrEx>
        <w:trPr>
          <w:trHeight w:val="1"/>
        </w:trPr>
        <w:tc>
          <w:tcPr>
            <w:tcW w:w="1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 xml:space="preserve">Variable </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 xml:space="preserve">Coefficient  </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proofErr w:type="spellStart"/>
            <w:r>
              <w:rPr>
                <w:rFonts w:ascii="Times New Roman" w:eastAsia="Times New Roman" w:hAnsi="Times New Roman" w:cs="Times New Roman"/>
                <w:sz w:val="24"/>
              </w:rPr>
              <w:t>Std</w:t>
            </w:r>
            <w:proofErr w:type="spellEnd"/>
            <w:r>
              <w:rPr>
                <w:rFonts w:ascii="Times New Roman" w:eastAsia="Times New Roman" w:hAnsi="Times New Roman" w:cs="Times New Roman"/>
                <w:sz w:val="24"/>
              </w:rPr>
              <w:t xml:space="preserve"> .Error</w:t>
            </w:r>
          </w:p>
        </w:tc>
        <w:tc>
          <w:tcPr>
            <w:tcW w:w="1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T-statistics</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proofErr w:type="spellStart"/>
            <w:r>
              <w:rPr>
                <w:rFonts w:ascii="Times New Roman" w:eastAsia="Times New Roman" w:hAnsi="Times New Roman" w:cs="Times New Roman"/>
                <w:sz w:val="24"/>
              </w:rPr>
              <w:t>Prob</w:t>
            </w:r>
            <w:proofErr w:type="spellEnd"/>
          </w:p>
        </w:tc>
      </w:tr>
      <w:tr w:rsidR="00DF0840">
        <w:tblPrEx>
          <w:tblCellMar>
            <w:top w:w="0" w:type="dxa"/>
            <w:bottom w:w="0" w:type="dxa"/>
          </w:tblCellMar>
        </w:tblPrEx>
        <w:trPr>
          <w:trHeight w:val="1"/>
        </w:trPr>
        <w:tc>
          <w:tcPr>
            <w:tcW w:w="1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C</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19.33995</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7.033354</w:t>
            </w:r>
          </w:p>
        </w:tc>
        <w:tc>
          <w:tcPr>
            <w:tcW w:w="1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2.749748</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0.0074</w:t>
            </w:r>
          </w:p>
        </w:tc>
      </w:tr>
      <w:tr w:rsidR="00DF0840">
        <w:tblPrEx>
          <w:tblCellMar>
            <w:top w:w="0" w:type="dxa"/>
            <w:bottom w:w="0" w:type="dxa"/>
          </w:tblCellMar>
        </w:tblPrEx>
        <w:trPr>
          <w:trHeight w:val="1"/>
        </w:trPr>
        <w:tc>
          <w:tcPr>
            <w:tcW w:w="1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Foreign Direct Investment</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6.20</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1.30</w:t>
            </w:r>
          </w:p>
        </w:tc>
        <w:tc>
          <w:tcPr>
            <w:tcW w:w="1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-0.475244</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0.6359</w:t>
            </w:r>
          </w:p>
        </w:tc>
      </w:tr>
      <w:tr w:rsidR="00DF0840">
        <w:tblPrEx>
          <w:tblCellMar>
            <w:top w:w="0" w:type="dxa"/>
            <w:bottom w:w="0" w:type="dxa"/>
          </w:tblCellMar>
        </w:tblPrEx>
        <w:trPr>
          <w:trHeight w:val="1"/>
        </w:trPr>
        <w:tc>
          <w:tcPr>
            <w:tcW w:w="1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GDP Deflator Linked series</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-0.026491</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0.016585</w:t>
            </w:r>
          </w:p>
        </w:tc>
        <w:tc>
          <w:tcPr>
            <w:tcW w:w="1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1.597273</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0.1142</w:t>
            </w:r>
          </w:p>
        </w:tc>
      </w:tr>
      <w:tr w:rsidR="00DF0840">
        <w:tblPrEx>
          <w:tblCellMar>
            <w:top w:w="0" w:type="dxa"/>
            <w:bottom w:w="0" w:type="dxa"/>
          </w:tblCellMar>
        </w:tblPrEx>
        <w:trPr>
          <w:trHeight w:val="1"/>
        </w:trPr>
        <w:tc>
          <w:tcPr>
            <w:tcW w:w="1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 xml:space="preserve">Inflation </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-0.048875</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0.121744</w:t>
            </w:r>
          </w:p>
        </w:tc>
        <w:tc>
          <w:tcPr>
            <w:tcW w:w="1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-0.401455</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0.6892</w:t>
            </w:r>
          </w:p>
        </w:tc>
      </w:tr>
      <w:tr w:rsidR="00DF0840">
        <w:tblPrEx>
          <w:tblCellMar>
            <w:top w:w="0" w:type="dxa"/>
            <w:bottom w:w="0" w:type="dxa"/>
          </w:tblCellMar>
        </w:tblPrEx>
        <w:trPr>
          <w:trHeight w:val="1"/>
        </w:trPr>
        <w:tc>
          <w:tcPr>
            <w:tcW w:w="1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Interest rate Spread</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0.025095</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0.240607</w:t>
            </w:r>
          </w:p>
        </w:tc>
        <w:tc>
          <w:tcPr>
            <w:tcW w:w="1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1.043020</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0.3002</w:t>
            </w:r>
          </w:p>
        </w:tc>
      </w:tr>
      <w:tr w:rsidR="00DF0840">
        <w:tblPrEx>
          <w:tblCellMar>
            <w:top w:w="0" w:type="dxa"/>
            <w:bottom w:w="0" w:type="dxa"/>
          </w:tblCellMar>
        </w:tblPrEx>
        <w:trPr>
          <w:trHeight w:val="1"/>
        </w:trPr>
        <w:tc>
          <w:tcPr>
            <w:tcW w:w="1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Political Stability</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-1.495703</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0.781076</w:t>
            </w:r>
          </w:p>
        </w:tc>
        <w:tc>
          <w:tcPr>
            <w:tcW w:w="1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-1.914926</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0.0592</w:t>
            </w:r>
          </w:p>
        </w:tc>
      </w:tr>
    </w:tbl>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The table above shows that Foreign Direct Investment (FDI) and interest rate spread have a positive impact on financial sector stability, as evidenced by their positive coefficients. The significant positive impact of FDI suggests that external capital in</w:t>
      </w:r>
      <w:r>
        <w:rPr>
          <w:rFonts w:ascii="Times New Roman" w:eastAsia="Times New Roman" w:hAnsi="Times New Roman" w:cs="Times New Roman"/>
          <w:sz w:val="24"/>
        </w:rPr>
        <w:t>flows play a crucial role in shaping the resilience and soundness of financial institutions in Sub-Saharan Africa. FDI acts as a stabilizing factor, enhancing liquidity, promoting capital formation, and contributing to the overall strength of the financial</w:t>
      </w:r>
      <w:r>
        <w:rPr>
          <w:rFonts w:ascii="Times New Roman" w:eastAsia="Times New Roman" w:hAnsi="Times New Roman" w:cs="Times New Roman"/>
          <w:sz w:val="24"/>
        </w:rPr>
        <w:t xml:space="preserve"> sector. The positive interest rate spread result indicates that a wider spread between lending and borrowing rates positively affects financial institution stability in the region. On the other hand, the negative results for the GDP Deflator and inflation</w:t>
      </w:r>
      <w:r>
        <w:rPr>
          <w:rFonts w:ascii="Times New Roman" w:eastAsia="Times New Roman" w:hAnsi="Times New Roman" w:cs="Times New Roman"/>
          <w:sz w:val="24"/>
        </w:rPr>
        <w:t xml:space="preserve"> suggest that changes in the overall price level and general price inflation may not significantly impact financial sector stability in Sub-Saharan Africa. Additionally, the negative result for political stability implies that the political environment may</w:t>
      </w:r>
      <w:r>
        <w:rPr>
          <w:rFonts w:ascii="Times New Roman" w:eastAsia="Times New Roman" w:hAnsi="Times New Roman" w:cs="Times New Roman"/>
          <w:sz w:val="24"/>
        </w:rPr>
        <w:t xml:space="preserve"> not be a prominent factor directly affecting financial sector stability in the region, based on the variables studied. </w:t>
      </w: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Calibri" w:eastAsia="Calibri" w:hAnsi="Calibri" w:cs="Calibri"/>
        </w:rPr>
      </w:pPr>
      <w:r>
        <w:rPr>
          <w:rFonts w:ascii="Calibri" w:eastAsia="Calibri" w:hAnsi="Calibri" w:cs="Calibri"/>
        </w:rPr>
        <w:t xml:space="preserve"> </w:t>
      </w: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TABLE 5</w:t>
      </w: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Random effects </w:t>
      </w: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1776"/>
        <w:gridCol w:w="1420"/>
        <w:gridCol w:w="1709"/>
        <w:gridCol w:w="1420"/>
        <w:gridCol w:w="1421"/>
      </w:tblGrid>
      <w:tr w:rsidR="00DF0840">
        <w:tblPrEx>
          <w:tblCellMar>
            <w:top w:w="0" w:type="dxa"/>
            <w:bottom w:w="0" w:type="dxa"/>
          </w:tblCellMar>
        </w:tblPrEx>
        <w:trPr>
          <w:trHeight w:val="1"/>
        </w:trPr>
        <w:tc>
          <w:tcPr>
            <w:tcW w:w="1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 xml:space="preserve">Variable </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 xml:space="preserve">Coefficient  </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proofErr w:type="spellStart"/>
            <w:r>
              <w:rPr>
                <w:rFonts w:ascii="Times New Roman" w:eastAsia="Times New Roman" w:hAnsi="Times New Roman" w:cs="Times New Roman"/>
                <w:sz w:val="24"/>
              </w:rPr>
              <w:t>Std</w:t>
            </w:r>
            <w:proofErr w:type="spellEnd"/>
            <w:r>
              <w:rPr>
                <w:rFonts w:ascii="Times New Roman" w:eastAsia="Times New Roman" w:hAnsi="Times New Roman" w:cs="Times New Roman"/>
                <w:sz w:val="24"/>
              </w:rPr>
              <w:t xml:space="preserve"> .Error</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T-statistics</w:t>
            </w:r>
          </w:p>
        </w:tc>
        <w:tc>
          <w:tcPr>
            <w:tcW w:w="1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proofErr w:type="spellStart"/>
            <w:r>
              <w:rPr>
                <w:rFonts w:ascii="Times New Roman" w:eastAsia="Times New Roman" w:hAnsi="Times New Roman" w:cs="Times New Roman"/>
                <w:sz w:val="24"/>
              </w:rPr>
              <w:t>Prob</w:t>
            </w:r>
            <w:proofErr w:type="spellEnd"/>
          </w:p>
        </w:tc>
      </w:tr>
      <w:tr w:rsidR="00DF0840">
        <w:tblPrEx>
          <w:tblCellMar>
            <w:top w:w="0" w:type="dxa"/>
            <w:bottom w:w="0" w:type="dxa"/>
          </w:tblCellMar>
        </w:tblPrEx>
        <w:trPr>
          <w:trHeight w:val="1"/>
        </w:trPr>
        <w:tc>
          <w:tcPr>
            <w:tcW w:w="1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C</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0.344134</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5.012972</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0.68649</w:t>
            </w:r>
          </w:p>
        </w:tc>
        <w:tc>
          <w:tcPr>
            <w:tcW w:w="1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0.9454</w:t>
            </w:r>
          </w:p>
        </w:tc>
      </w:tr>
      <w:tr w:rsidR="00DF0840">
        <w:tblPrEx>
          <w:tblCellMar>
            <w:top w:w="0" w:type="dxa"/>
            <w:bottom w:w="0" w:type="dxa"/>
          </w:tblCellMar>
        </w:tblPrEx>
        <w:trPr>
          <w:trHeight w:val="1"/>
        </w:trPr>
        <w:tc>
          <w:tcPr>
            <w:tcW w:w="1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Foreign Direct Investment</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-4.82</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1.13</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-0.425731</w:t>
            </w:r>
          </w:p>
        </w:tc>
        <w:tc>
          <w:tcPr>
            <w:tcW w:w="1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0.6714</w:t>
            </w:r>
          </w:p>
        </w:tc>
      </w:tr>
      <w:tr w:rsidR="00DF0840">
        <w:tblPrEx>
          <w:tblCellMar>
            <w:top w:w="0" w:type="dxa"/>
            <w:bottom w:w="0" w:type="dxa"/>
          </w:tblCellMar>
        </w:tblPrEx>
        <w:trPr>
          <w:trHeight w:val="1"/>
        </w:trPr>
        <w:tc>
          <w:tcPr>
            <w:tcW w:w="1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GDP Deflator Linked series</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0.005158</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0.013802</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0.373734</w:t>
            </w:r>
          </w:p>
        </w:tc>
        <w:tc>
          <w:tcPr>
            <w:tcW w:w="1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0.7095</w:t>
            </w:r>
          </w:p>
        </w:tc>
      </w:tr>
      <w:tr w:rsidR="00DF0840">
        <w:tblPrEx>
          <w:tblCellMar>
            <w:top w:w="0" w:type="dxa"/>
            <w:bottom w:w="0" w:type="dxa"/>
          </w:tblCellMar>
        </w:tblPrEx>
        <w:trPr>
          <w:trHeight w:val="1"/>
        </w:trPr>
        <w:tc>
          <w:tcPr>
            <w:tcW w:w="1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 xml:space="preserve">Inflation </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0.062525</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0.117810</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0.530725</w:t>
            </w:r>
          </w:p>
        </w:tc>
        <w:tc>
          <w:tcPr>
            <w:tcW w:w="1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0.5970</w:t>
            </w:r>
          </w:p>
        </w:tc>
      </w:tr>
      <w:tr w:rsidR="00DF0840">
        <w:tblPrEx>
          <w:tblCellMar>
            <w:top w:w="0" w:type="dxa"/>
            <w:bottom w:w="0" w:type="dxa"/>
          </w:tblCellMar>
        </w:tblPrEx>
        <w:trPr>
          <w:trHeight w:val="1"/>
        </w:trPr>
        <w:tc>
          <w:tcPr>
            <w:tcW w:w="1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Interest rate Spread</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0.433944</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0.202933</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2.138361</w:t>
            </w:r>
          </w:p>
        </w:tc>
        <w:tc>
          <w:tcPr>
            <w:tcW w:w="1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0.03454</w:t>
            </w:r>
          </w:p>
        </w:tc>
      </w:tr>
      <w:tr w:rsidR="00DF0840">
        <w:tblPrEx>
          <w:tblCellMar>
            <w:top w:w="0" w:type="dxa"/>
            <w:bottom w:w="0" w:type="dxa"/>
          </w:tblCellMar>
        </w:tblPrEx>
        <w:trPr>
          <w:trHeight w:val="1"/>
        </w:trPr>
        <w:tc>
          <w:tcPr>
            <w:tcW w:w="1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Political Stability</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0.390648</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0.493597</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0.791433</w:t>
            </w:r>
          </w:p>
        </w:tc>
        <w:tc>
          <w:tcPr>
            <w:tcW w:w="1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sz w:val="24"/>
              </w:rPr>
              <w:t>0.4309</w:t>
            </w:r>
          </w:p>
        </w:tc>
      </w:tr>
    </w:tbl>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sz w:val="24"/>
        </w:rPr>
        <w:t>According to the random estimates table, the factors that positively influence financial stability in Sub-Saharan Africa are the GDP Deflator Linked series, inflation, interest rate spread, and political stability. The positive r</w:t>
      </w:r>
      <w:r>
        <w:rPr>
          <w:rFonts w:ascii="Times New Roman" w:eastAsia="Times New Roman" w:hAnsi="Times New Roman" w:cs="Times New Roman"/>
          <w:sz w:val="24"/>
        </w:rPr>
        <w:t>esults for the GDP Deflator and inflation suggest that changes in the overall price level and general price inflation significantly impact financial sector stability in the region. This highlights the importance of inflation targeting and price stability f</w:t>
      </w:r>
      <w:r>
        <w:rPr>
          <w:rFonts w:ascii="Times New Roman" w:eastAsia="Times New Roman" w:hAnsi="Times New Roman" w:cs="Times New Roman"/>
          <w:sz w:val="24"/>
        </w:rPr>
        <w:t>or policymakers when formulating monetary policy strategies to ensure financial sector resilience. The positive result for interest rate spread indicates that the spread between lending and borrowing rates influences financial sector stability, providing i</w:t>
      </w:r>
      <w:r>
        <w:rPr>
          <w:rFonts w:ascii="Times New Roman" w:eastAsia="Times New Roman" w:hAnsi="Times New Roman" w:cs="Times New Roman"/>
          <w:sz w:val="24"/>
        </w:rPr>
        <w:t xml:space="preserve">nsights into financial intermediation, credit availability, and risk management practices in the region. However, the negative result for Foreign Direct Investment (FDI) suggests that alternative mechanisms may be </w:t>
      </w:r>
      <w:r>
        <w:rPr>
          <w:rFonts w:ascii="Times New Roman" w:eastAsia="Times New Roman" w:hAnsi="Times New Roman" w:cs="Times New Roman"/>
          <w:sz w:val="24"/>
        </w:rPr>
        <w:lastRenderedPageBreak/>
        <w:t>necessary to understand how monetary polic</w:t>
      </w:r>
      <w:r>
        <w:rPr>
          <w:rFonts w:ascii="Times New Roman" w:eastAsia="Times New Roman" w:hAnsi="Times New Roman" w:cs="Times New Roman"/>
          <w:sz w:val="24"/>
        </w:rPr>
        <w:t>y interacts with financial sector stability in Sub-Saharan Africa, and policymakers may need to consider additional domestic factors or transmission channels that play a more significant role in shaping financial sector resilience.</w:t>
      </w: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TABLE 6</w:t>
      </w: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The Haussmann Test</w:t>
      </w:r>
    </w:p>
    <w:tbl>
      <w:tblPr>
        <w:tblW w:w="0" w:type="auto"/>
        <w:tblInd w:w="98" w:type="dxa"/>
        <w:tblCellMar>
          <w:left w:w="10" w:type="dxa"/>
          <w:right w:w="10" w:type="dxa"/>
        </w:tblCellMar>
        <w:tblLook w:val="0000" w:firstRow="0" w:lastRow="0" w:firstColumn="0" w:lastColumn="0" w:noHBand="0" w:noVBand="0"/>
      </w:tblPr>
      <w:tblGrid>
        <w:gridCol w:w="2105"/>
        <w:gridCol w:w="2085"/>
        <w:gridCol w:w="2080"/>
        <w:gridCol w:w="2062"/>
      </w:tblGrid>
      <w:tr w:rsidR="00DF0840">
        <w:tblPrEx>
          <w:tblCellMar>
            <w:top w:w="0" w:type="dxa"/>
            <w:bottom w:w="0" w:type="dxa"/>
          </w:tblCellMar>
        </w:tblPrEx>
        <w:trPr>
          <w:trHeight w:val="1"/>
        </w:trPr>
        <w:tc>
          <w:tcPr>
            <w:tcW w:w="2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b/>
                <w:sz w:val="24"/>
              </w:rPr>
              <w:t>Test Summary</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b/>
                <w:sz w:val="24"/>
              </w:rPr>
              <w:t>Chi-</w:t>
            </w:r>
            <w:proofErr w:type="spellStart"/>
            <w:r>
              <w:rPr>
                <w:rFonts w:ascii="Times New Roman" w:eastAsia="Times New Roman" w:hAnsi="Times New Roman" w:cs="Times New Roman"/>
                <w:b/>
                <w:sz w:val="24"/>
              </w:rPr>
              <w:t>Sq</w:t>
            </w:r>
            <w:proofErr w:type="spellEnd"/>
            <w:r>
              <w:rPr>
                <w:rFonts w:ascii="Times New Roman" w:eastAsia="Times New Roman" w:hAnsi="Times New Roman" w:cs="Times New Roman"/>
                <w:b/>
                <w:sz w:val="24"/>
              </w:rPr>
              <w:t xml:space="preserve"> Statistic</w:t>
            </w:r>
          </w:p>
        </w:tc>
        <w:tc>
          <w:tcPr>
            <w:tcW w:w="2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b/>
                <w:sz w:val="24"/>
              </w:rPr>
              <w:t>Chi-</w:t>
            </w:r>
            <w:proofErr w:type="spellStart"/>
            <w:r>
              <w:rPr>
                <w:rFonts w:ascii="Times New Roman" w:eastAsia="Times New Roman" w:hAnsi="Times New Roman" w:cs="Times New Roman"/>
                <w:b/>
                <w:sz w:val="24"/>
              </w:rPr>
              <w:t>Sq.d.f</w:t>
            </w:r>
            <w:proofErr w:type="spellEnd"/>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b/>
                <w:sz w:val="24"/>
              </w:rPr>
              <w:t>Prob.</w:t>
            </w:r>
          </w:p>
        </w:tc>
      </w:tr>
      <w:tr w:rsidR="00DF0840">
        <w:tblPrEx>
          <w:tblCellMar>
            <w:top w:w="0" w:type="dxa"/>
            <w:bottom w:w="0" w:type="dxa"/>
          </w:tblCellMar>
        </w:tblPrEx>
        <w:trPr>
          <w:trHeight w:val="1"/>
        </w:trPr>
        <w:tc>
          <w:tcPr>
            <w:tcW w:w="2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Cross-section </w:t>
            </w:r>
          </w:p>
          <w:p w:rsidR="00DF0840" w:rsidRDefault="00B3023B">
            <w:pPr>
              <w:spacing w:after="0" w:line="360" w:lineRule="auto"/>
              <w:jc w:val="both"/>
            </w:pPr>
            <w:r>
              <w:rPr>
                <w:rFonts w:ascii="Times New Roman" w:eastAsia="Times New Roman" w:hAnsi="Times New Roman" w:cs="Times New Roman"/>
                <w:b/>
                <w:sz w:val="24"/>
              </w:rPr>
              <w:t>random</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b/>
                <w:sz w:val="24"/>
              </w:rPr>
              <w:t>19.677441</w:t>
            </w:r>
          </w:p>
        </w:tc>
        <w:tc>
          <w:tcPr>
            <w:tcW w:w="2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b/>
                <w:sz w:val="24"/>
              </w:rPr>
              <w:t>5</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0840" w:rsidRDefault="00B3023B">
            <w:pPr>
              <w:spacing w:after="0" w:line="360" w:lineRule="auto"/>
              <w:jc w:val="both"/>
            </w:pPr>
            <w:r>
              <w:rPr>
                <w:rFonts w:ascii="Times New Roman" w:eastAsia="Times New Roman" w:hAnsi="Times New Roman" w:cs="Times New Roman"/>
                <w:b/>
                <w:sz w:val="24"/>
              </w:rPr>
              <w:t>0.0014</w:t>
            </w:r>
          </w:p>
        </w:tc>
      </w:tr>
    </w:tbl>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Chi-</w:t>
      </w:r>
      <w:proofErr w:type="spellStart"/>
      <w:r>
        <w:rPr>
          <w:rFonts w:ascii="Times New Roman" w:eastAsia="Times New Roman" w:hAnsi="Times New Roman" w:cs="Times New Roman"/>
          <w:sz w:val="24"/>
        </w:rPr>
        <w:t>Sq</w:t>
      </w:r>
      <w:proofErr w:type="spellEnd"/>
      <w:r>
        <w:rPr>
          <w:rFonts w:ascii="Times New Roman" w:eastAsia="Times New Roman" w:hAnsi="Times New Roman" w:cs="Times New Roman"/>
          <w:sz w:val="24"/>
        </w:rPr>
        <w:t xml:space="preserve"> Statistic (19.677) measures the difference between the fixed effects and random effects estimates. The Chi-</w:t>
      </w:r>
      <w:proofErr w:type="spellStart"/>
      <w:r>
        <w:rPr>
          <w:rFonts w:ascii="Times New Roman" w:eastAsia="Times New Roman" w:hAnsi="Times New Roman" w:cs="Times New Roman"/>
          <w:sz w:val="24"/>
        </w:rPr>
        <w:t>Sq</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d.f</w:t>
      </w:r>
      <w:proofErr w:type="spellEnd"/>
      <w:r>
        <w:rPr>
          <w:rFonts w:ascii="Times New Roman" w:eastAsia="Times New Roman" w:hAnsi="Times New Roman" w:cs="Times New Roman"/>
          <w:sz w:val="24"/>
        </w:rPr>
        <w:t xml:space="preserve"> (5) indicates the degrees of freedom, which is the number of restrictions tested (in this case, 5 coefficients).The </w:t>
      </w:r>
      <w:proofErr w:type="spellStart"/>
      <w:r>
        <w:rPr>
          <w:rFonts w:ascii="Times New Roman" w:eastAsia="Times New Roman" w:hAnsi="Times New Roman" w:cs="Times New Roman"/>
          <w:sz w:val="24"/>
        </w:rPr>
        <w:t>Prob</w:t>
      </w:r>
      <w:proofErr w:type="spellEnd"/>
      <w:r>
        <w:rPr>
          <w:rFonts w:ascii="Times New Roman" w:eastAsia="Times New Roman" w:hAnsi="Times New Roman" w:cs="Times New Roman"/>
          <w:sz w:val="24"/>
        </w:rPr>
        <w:t xml:space="preserve"> (0.0014) r</w:t>
      </w:r>
      <w:r>
        <w:rPr>
          <w:rFonts w:ascii="Times New Roman" w:eastAsia="Times New Roman" w:hAnsi="Times New Roman" w:cs="Times New Roman"/>
          <w:sz w:val="24"/>
        </w:rPr>
        <w:t>epresents the p-value, which indicates the probability of observing a Chi-</w:t>
      </w:r>
      <w:proofErr w:type="spellStart"/>
      <w:r>
        <w:rPr>
          <w:rFonts w:ascii="Times New Roman" w:eastAsia="Times New Roman" w:hAnsi="Times New Roman" w:cs="Times New Roman"/>
          <w:sz w:val="24"/>
        </w:rPr>
        <w:t>Sq</w:t>
      </w:r>
      <w:proofErr w:type="spellEnd"/>
      <w:r>
        <w:rPr>
          <w:rFonts w:ascii="Times New Roman" w:eastAsia="Times New Roman" w:hAnsi="Times New Roman" w:cs="Times New Roman"/>
          <w:sz w:val="24"/>
        </w:rPr>
        <w:t xml:space="preserve"> statistic at least as extreme as 19.677 assuming that the random effects model is true. Since the p-value (0.0014) is less than the typical significance level of 0.05, we reject t</w:t>
      </w:r>
      <w:r>
        <w:rPr>
          <w:rFonts w:ascii="Times New Roman" w:eastAsia="Times New Roman" w:hAnsi="Times New Roman" w:cs="Times New Roman"/>
          <w:sz w:val="24"/>
        </w:rPr>
        <w:t>he null hypothesis that the random effects model is appropriate. This suggests that the fixed effects model is a better fit for the data. In other words, the Haussmann test indicates that there are significant differences between the fixed effects and rand</w:t>
      </w:r>
      <w:r>
        <w:rPr>
          <w:rFonts w:ascii="Times New Roman" w:eastAsia="Times New Roman" w:hAnsi="Times New Roman" w:cs="Times New Roman"/>
          <w:sz w:val="24"/>
        </w:rPr>
        <w:t>om effects estimates, and the fixed effects model is more suitable for panel data regression analysis.</w:t>
      </w: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B3023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B3023B">
      <w:pPr>
        <w:keepNext/>
        <w:keepLines/>
        <w:spacing w:before="160" w:after="12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4.3.0 Summary</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This chapter presents the empirical analysis results on the effects of monetary policy on financial sector stability in Sub-Saharan Africa. The descriptive statistics reveal considerable variations in financial sector stability and monetary policy indicato</w:t>
      </w:r>
      <w:r>
        <w:rPr>
          <w:rFonts w:ascii="Times New Roman" w:eastAsia="Times New Roman" w:hAnsi="Times New Roman" w:cs="Times New Roman"/>
          <w:sz w:val="24"/>
        </w:rPr>
        <w:t>rs across the 12 selected countries. The correlation analysis indicates significant relationships between monetary policy variables (interest rates and money supply) and financial sector stability indicators (non-performing loans and bank stability). The r</w:t>
      </w:r>
      <w:r>
        <w:rPr>
          <w:rFonts w:ascii="Times New Roman" w:eastAsia="Times New Roman" w:hAnsi="Times New Roman" w:cs="Times New Roman"/>
          <w:sz w:val="24"/>
        </w:rPr>
        <w:t>egression analysis results show that interest rates have a significant positive impact on non-performing loans, while money supply has a significant negative impact on bank stability. Additionally, GDP growth rate and inflation rate have significant effect</w:t>
      </w:r>
      <w:r>
        <w:rPr>
          <w:rFonts w:ascii="Times New Roman" w:eastAsia="Times New Roman" w:hAnsi="Times New Roman" w:cs="Times New Roman"/>
          <w:sz w:val="24"/>
        </w:rPr>
        <w:t>s on financial sector stability. The Haussmann test confirms the suitability of the fixed effects model for the panel data regression analysis. The results provide robust evidence that monetary policy has significant effects on financial sector stability i</w:t>
      </w:r>
      <w:r>
        <w:rPr>
          <w:rFonts w:ascii="Times New Roman" w:eastAsia="Times New Roman" w:hAnsi="Times New Roman" w:cs="Times New Roman"/>
          <w:sz w:val="24"/>
        </w:rPr>
        <w:t>n Sub-Saharan Africa, emphasizing the importance of careful policy decisions to maintain stability in the financial sector.</w:t>
      </w: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DF0840">
      <w:pPr>
        <w:spacing w:after="0" w:line="360" w:lineRule="auto"/>
        <w:jc w:val="both"/>
        <w:rPr>
          <w:rFonts w:ascii="Times New Roman" w:eastAsia="Times New Roman" w:hAnsi="Times New Roman" w:cs="Times New Roman"/>
          <w:b/>
          <w:sz w:val="24"/>
        </w:rPr>
      </w:pPr>
    </w:p>
    <w:p w:rsidR="00DF0840" w:rsidRDefault="00B3023B">
      <w:pPr>
        <w:keepNext/>
        <w:keepLines/>
        <w:spacing w:before="360"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CHAPTER V</w:t>
      </w:r>
    </w:p>
    <w:p w:rsidR="00DF0840" w:rsidRDefault="00DF0840">
      <w:pPr>
        <w:keepNext/>
        <w:keepLines/>
        <w:spacing w:before="360" w:after="120" w:line="360" w:lineRule="auto"/>
        <w:jc w:val="center"/>
        <w:rPr>
          <w:rFonts w:ascii="Times New Roman" w:eastAsia="Times New Roman" w:hAnsi="Times New Roman" w:cs="Times New Roman"/>
          <w:b/>
          <w:sz w:val="24"/>
        </w:rPr>
      </w:pPr>
    </w:p>
    <w:p w:rsidR="00DF0840" w:rsidRDefault="00B3023B">
      <w:pPr>
        <w:keepNext/>
        <w:keepLines/>
        <w:spacing w:before="360"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SUMMARY AND POLICY RECOMMANDATIONS.</w:t>
      </w:r>
    </w:p>
    <w:p w:rsidR="00DF0840" w:rsidRDefault="00DF0840">
      <w:pPr>
        <w:spacing w:after="0" w:line="360" w:lineRule="auto"/>
        <w:jc w:val="both"/>
        <w:rPr>
          <w:rFonts w:ascii="Times New Roman" w:eastAsia="Times New Roman" w:hAnsi="Times New Roman" w:cs="Times New Roman"/>
          <w:b/>
          <w:sz w:val="24"/>
          <w:u w:val="single"/>
        </w:rPr>
      </w:pPr>
    </w:p>
    <w:p w:rsidR="00DF0840" w:rsidRDefault="00DF0840">
      <w:pPr>
        <w:spacing w:after="0" w:line="360" w:lineRule="auto"/>
        <w:ind w:firstLine="420"/>
        <w:jc w:val="both"/>
        <w:rPr>
          <w:rFonts w:ascii="Times New Roman" w:eastAsia="Times New Roman" w:hAnsi="Times New Roman" w:cs="Times New Roman"/>
          <w:b/>
          <w:sz w:val="24"/>
          <w:u w:val="single"/>
        </w:rPr>
      </w:pPr>
    </w:p>
    <w:p w:rsidR="00DF0840" w:rsidRDefault="00DF0840">
      <w:pPr>
        <w:spacing w:after="0" w:line="360" w:lineRule="auto"/>
        <w:jc w:val="both"/>
        <w:rPr>
          <w:rFonts w:ascii="Times New Roman" w:eastAsia="Times New Roman" w:hAnsi="Times New Roman" w:cs="Times New Roman"/>
          <w:b/>
          <w:sz w:val="24"/>
          <w:u w:val="single"/>
        </w:rPr>
      </w:pPr>
    </w:p>
    <w:p w:rsidR="00DF0840" w:rsidRDefault="00B3023B">
      <w:pPr>
        <w:keepNext/>
        <w:keepLines/>
        <w:spacing w:before="160" w:after="12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5.0 Introduction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This chapter presents a comprehensive summary of the study's key findings, delves into the policy implications for maintaining financial stability, and offers actionable recommendations for policymakers. Additionally, it identifies potential areas for futu</w:t>
      </w:r>
      <w:r>
        <w:rPr>
          <w:rFonts w:ascii="Times New Roman" w:eastAsia="Times New Roman" w:hAnsi="Times New Roman" w:cs="Times New Roman"/>
          <w:sz w:val="24"/>
        </w:rPr>
        <w:t xml:space="preserve">re research, providing a foundation for further exploration and analysis in this </w:t>
      </w:r>
      <w:proofErr w:type="spellStart"/>
      <w:r>
        <w:rPr>
          <w:rFonts w:ascii="Times New Roman" w:eastAsia="Times New Roman" w:hAnsi="Times New Roman" w:cs="Times New Roman"/>
          <w:sz w:val="24"/>
        </w:rPr>
        <w:t>field.Additionally</w:t>
      </w:r>
      <w:proofErr w:type="spellEnd"/>
      <w:r>
        <w:rPr>
          <w:rFonts w:ascii="Times New Roman" w:eastAsia="Times New Roman" w:hAnsi="Times New Roman" w:cs="Times New Roman"/>
          <w:sz w:val="24"/>
        </w:rPr>
        <w:t>, the chapter evaluates whether the study's objectives were achieved.</w:t>
      </w:r>
    </w:p>
    <w:p w:rsidR="00DF0840" w:rsidRDefault="00DF0840">
      <w:pPr>
        <w:spacing w:after="0" w:line="360" w:lineRule="auto"/>
        <w:jc w:val="both"/>
        <w:rPr>
          <w:rFonts w:ascii="Times New Roman" w:eastAsia="Times New Roman" w:hAnsi="Times New Roman" w:cs="Times New Roman"/>
          <w:sz w:val="24"/>
        </w:rPr>
      </w:pPr>
    </w:p>
    <w:p w:rsidR="00DF0840" w:rsidRDefault="00DF0840">
      <w:pPr>
        <w:spacing w:after="0" w:line="360" w:lineRule="auto"/>
        <w:jc w:val="both"/>
        <w:rPr>
          <w:rFonts w:ascii="Times New Roman" w:eastAsia="Times New Roman" w:hAnsi="Times New Roman" w:cs="Times New Roman"/>
          <w:sz w:val="24"/>
        </w:rPr>
      </w:pPr>
    </w:p>
    <w:p w:rsidR="00DF0840" w:rsidRDefault="00B3023B">
      <w:pPr>
        <w:keepNext/>
        <w:keepLines/>
        <w:spacing w:before="160" w:after="12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5.1 Summary of the Study</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This research examined the effect of endogenous monetary pol</w:t>
      </w:r>
      <w:r>
        <w:rPr>
          <w:rFonts w:ascii="Times New Roman" w:eastAsia="Times New Roman" w:hAnsi="Times New Roman" w:cs="Times New Roman"/>
          <w:sz w:val="24"/>
        </w:rPr>
        <w:t>icy on financial stability in sub-Saharan Africa, employing bank non-performing loans as a proxy for financial stability. The underlying hypothesis was that, despite limited control over monetary policy by sub-Saharan central banks, monetary policy signifi</w:t>
      </w:r>
      <w:r>
        <w:rPr>
          <w:rFonts w:ascii="Times New Roman" w:eastAsia="Times New Roman" w:hAnsi="Times New Roman" w:cs="Times New Roman"/>
          <w:sz w:val="24"/>
        </w:rPr>
        <w:t xml:space="preserve">cantly contributes to financial instability. The study </w:t>
      </w:r>
      <w:proofErr w:type="spellStart"/>
      <w:r>
        <w:rPr>
          <w:rFonts w:ascii="Times New Roman" w:eastAsia="Times New Roman" w:hAnsi="Times New Roman" w:cs="Times New Roman"/>
          <w:sz w:val="24"/>
        </w:rPr>
        <w:t>analysed</w:t>
      </w:r>
      <w:proofErr w:type="spellEnd"/>
      <w:r>
        <w:rPr>
          <w:rFonts w:ascii="Times New Roman" w:eastAsia="Times New Roman" w:hAnsi="Times New Roman" w:cs="Times New Roman"/>
          <w:sz w:val="24"/>
        </w:rPr>
        <w:t xml:space="preserve"> yearly panel data from 2009 to 2022, primarily sourced from the World Bank </w:t>
      </w:r>
      <w:r>
        <w:rPr>
          <w:rFonts w:ascii="Times New Roman" w:eastAsia="Times New Roman" w:hAnsi="Times New Roman" w:cs="Times New Roman"/>
          <w:sz w:val="24"/>
        </w:rPr>
        <w:lastRenderedPageBreak/>
        <w:t>Development Indicators and the IMF. The data was modelled using a range of estimation techniques, including the Fixed</w:t>
      </w:r>
      <w:r>
        <w:rPr>
          <w:rFonts w:ascii="Times New Roman" w:eastAsia="Times New Roman" w:hAnsi="Times New Roman" w:cs="Times New Roman"/>
          <w:sz w:val="24"/>
        </w:rPr>
        <w:t xml:space="preserve"> Effects model, Structural Vector Auto-regression, and Random Effects model, implemented through E-Views 10.</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analysis revealed that broad money supply and the consumer price index (used as a proxy for inflation) were statistically significant at the 5% level, indicating a robust relationship with bank non-performing loans. The coefficient of determination (R-</w:t>
      </w:r>
      <w:r>
        <w:rPr>
          <w:rFonts w:ascii="Times New Roman" w:eastAsia="Times New Roman" w:hAnsi="Times New Roman" w:cs="Times New Roman"/>
          <w:sz w:val="24"/>
        </w:rPr>
        <w:t>squared) showed that the explanatory variables explained 55.3% of the variation in bank non-performing loans, suggesting a moderate fit. Based on these findings, the study concluded that endogenous monetary policy has a significant impact on financial stab</w:t>
      </w:r>
      <w:r>
        <w:rPr>
          <w:rFonts w:ascii="Times New Roman" w:eastAsia="Times New Roman" w:hAnsi="Times New Roman" w:cs="Times New Roman"/>
          <w:sz w:val="24"/>
        </w:rPr>
        <w:t>ility in sub-Saharan Africa, highlighting the importance of considering monetary policy factors in maintaining financial sector stability.</w:t>
      </w:r>
    </w:p>
    <w:p w:rsidR="00DF0840" w:rsidRDefault="00DF0840">
      <w:pPr>
        <w:spacing w:after="0" w:line="360" w:lineRule="auto"/>
        <w:jc w:val="both"/>
        <w:rPr>
          <w:rFonts w:ascii="Times New Roman" w:eastAsia="Times New Roman" w:hAnsi="Times New Roman" w:cs="Times New Roman"/>
          <w:sz w:val="24"/>
        </w:rPr>
      </w:pPr>
    </w:p>
    <w:p w:rsidR="00DF0840" w:rsidRDefault="00B3023B">
      <w:pPr>
        <w:keepNext/>
        <w:keepLines/>
        <w:spacing w:before="160" w:after="12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5.2 Policy Recommendations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study suggests that monetary authorities in sub-Saharan Africa should prioritize mon</w:t>
      </w:r>
      <w:r>
        <w:rPr>
          <w:rFonts w:ascii="Times New Roman" w:eastAsia="Times New Roman" w:hAnsi="Times New Roman" w:cs="Times New Roman"/>
          <w:sz w:val="24"/>
        </w:rPr>
        <w:t>etary policy instruments to achieve financial stability in their economies. This would help economically struggling countries like Zimbabwe, which uses a multi-currency regime, as well as other countries in the region, to consider adopting stronger regiona</w:t>
      </w:r>
      <w:r>
        <w:rPr>
          <w:rFonts w:ascii="Times New Roman" w:eastAsia="Times New Roman" w:hAnsi="Times New Roman" w:cs="Times New Roman"/>
          <w:sz w:val="24"/>
        </w:rPr>
        <w:t>l currencies like the rand or kwacha. For instance, following Gresham's law, during Zimbabwe's multi-currency period in the 2009, economic agents hoarded US dollars as the "good" money, causing shortages and a liquidity crunch. Joining the rand community c</w:t>
      </w:r>
      <w:r>
        <w:rPr>
          <w:rFonts w:ascii="Times New Roman" w:eastAsia="Times New Roman" w:hAnsi="Times New Roman" w:cs="Times New Roman"/>
          <w:sz w:val="24"/>
        </w:rPr>
        <w:t>ould have promoted stability by having a single currency in circulation.</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Furthermore, the authorities should prioritize open market operations over physical cash injections, as excessive money supply through cash injections, such as Zimbabwe's bond notes </w:t>
      </w:r>
      <w:r>
        <w:rPr>
          <w:rFonts w:ascii="Times New Roman" w:eastAsia="Times New Roman" w:hAnsi="Times New Roman" w:cs="Times New Roman"/>
          <w:sz w:val="24"/>
        </w:rPr>
        <w:t>in 2016, has led to inflation and informal economic activity. This supports Milton Friedman's view that inflation is primarily driven by monetary factors. In conclusion, the study advises sub-Saharan central banks to harmonize their policy instruments more</w:t>
      </w:r>
      <w:r>
        <w:rPr>
          <w:rFonts w:ascii="Times New Roman" w:eastAsia="Times New Roman" w:hAnsi="Times New Roman" w:cs="Times New Roman"/>
          <w:sz w:val="24"/>
        </w:rPr>
        <w:t xml:space="preserve"> effectively to achieve macroeconomic goals and maintain financial stability, adhering to the Tinbergen principle to avoid policy confusion and ensure a more targeted approach.</w:t>
      </w:r>
    </w:p>
    <w:p w:rsidR="00DF0840" w:rsidRDefault="00B3023B">
      <w:pPr>
        <w:keepNext/>
        <w:keepLines/>
        <w:spacing w:before="160" w:after="12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5.3 Suggestion of Areas for further study.</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This research primarily explored th</w:t>
      </w:r>
      <w:r>
        <w:rPr>
          <w:rFonts w:ascii="Times New Roman" w:eastAsia="Times New Roman" w:hAnsi="Times New Roman" w:cs="Times New Roman"/>
          <w:sz w:val="24"/>
        </w:rPr>
        <w:t xml:space="preserve">e effect of monetary policy on financial sector stability in Sub-Saharan Africa, omitting other crucial factors like the growth of the informal sector and black markets in the region. These factors can significantly influence the effectiveness of monetary </w:t>
      </w:r>
      <w:r>
        <w:rPr>
          <w:rFonts w:ascii="Times New Roman" w:eastAsia="Times New Roman" w:hAnsi="Times New Roman" w:cs="Times New Roman"/>
          <w:sz w:val="24"/>
        </w:rPr>
        <w:t xml:space="preserve">policy and financial sector stability. Therefore, further investigation is necessary to comprehensively address the challenges related to financial sector stability in the region and obtain unbiased insights into the impact of monetary policy on financial </w:t>
      </w:r>
      <w:r>
        <w:rPr>
          <w:rFonts w:ascii="Times New Roman" w:eastAsia="Times New Roman" w:hAnsi="Times New Roman" w:cs="Times New Roman"/>
          <w:sz w:val="24"/>
        </w:rPr>
        <w:t>sector stability. By considering these additional factors, future studies can provide a more complete understanding of the complex dynamics at play.</w:t>
      </w: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keepNext/>
        <w:keepLines/>
        <w:spacing w:before="160" w:after="120" w:line="360" w:lineRule="auto"/>
        <w:jc w:val="both"/>
        <w:rPr>
          <w:rFonts w:ascii="Times New Roman" w:eastAsia="Times New Roman" w:hAnsi="Times New Roman" w:cs="Times New Roman"/>
          <w:b/>
          <w:sz w:val="24"/>
        </w:rPr>
      </w:pPr>
    </w:p>
    <w:p w:rsidR="00DF0840" w:rsidRDefault="00B3023B">
      <w:pPr>
        <w:keepNext/>
        <w:keepLines/>
        <w:spacing w:before="360"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References</w:t>
      </w: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B3023B">
      <w:pPr>
        <w:spacing w:after="0" w:line="360" w:lineRule="auto"/>
        <w:jc w:val="both"/>
        <w:rPr>
          <w:rFonts w:ascii="Times New Roman" w:eastAsia="Times New Roman" w:hAnsi="Times New Roman" w:cs="Times New Roman"/>
          <w:sz w:val="21"/>
        </w:rPr>
      </w:pPr>
      <w:r>
        <w:rPr>
          <w:rFonts w:ascii="Times New Roman" w:eastAsia="Times New Roman" w:hAnsi="Times New Roman" w:cs="Times New Roman"/>
          <w:sz w:val="21"/>
        </w:rPr>
        <w:t xml:space="preserve">International Monetary Fund. (2015). Financial Stability Assessment: Sub-Saharan Africa. Retrieved from </w:t>
      </w:r>
      <w:hyperlink r:id="rId15">
        <w:r>
          <w:rPr>
            <w:rFonts w:ascii="Times New Roman" w:eastAsia="Times New Roman" w:hAnsi="Times New Roman" w:cs="Times New Roman"/>
            <w:color w:val="0000FF"/>
            <w:sz w:val="21"/>
            <w:u w:val="single"/>
          </w:rPr>
          <w:t>https://www.imf.org/external/pubs/ft/scr/2015/cr1562.pdf</w:t>
        </w:r>
      </w:hyperlink>
    </w:p>
    <w:p w:rsidR="00DF0840" w:rsidRDefault="00DF0840">
      <w:pPr>
        <w:spacing w:after="0" w:line="360" w:lineRule="auto"/>
        <w:jc w:val="both"/>
        <w:rPr>
          <w:rFonts w:ascii="Times New Roman" w:eastAsia="Times New Roman" w:hAnsi="Times New Roman" w:cs="Times New Roman"/>
          <w:sz w:val="21"/>
        </w:rPr>
      </w:pPr>
    </w:p>
    <w:p w:rsidR="00DF0840" w:rsidRDefault="00B3023B">
      <w:pPr>
        <w:spacing w:after="0" w:line="360" w:lineRule="auto"/>
        <w:jc w:val="both"/>
        <w:rPr>
          <w:rFonts w:ascii="Times New Roman" w:eastAsia="Times New Roman" w:hAnsi="Times New Roman" w:cs="Times New Roman"/>
          <w:sz w:val="21"/>
        </w:rPr>
      </w:pPr>
      <w:r>
        <w:rPr>
          <w:rFonts w:ascii="Times New Roman" w:eastAsia="Times New Roman" w:hAnsi="Times New Roman" w:cs="Times New Roman"/>
          <w:sz w:val="21"/>
        </w:rPr>
        <w:t xml:space="preserve">European Central Bank. (2007). Financial Stability Review. Retrieved from </w:t>
      </w:r>
      <w:hyperlink r:id="rId16">
        <w:r>
          <w:rPr>
            <w:rFonts w:ascii="Times New Roman" w:eastAsia="Times New Roman" w:hAnsi="Times New Roman" w:cs="Times New Roman"/>
            <w:color w:val="0000FF"/>
            <w:sz w:val="21"/>
            <w:u w:val="single"/>
          </w:rPr>
          <w:t>https://www.ecb.europa.eu/pub/pdf/other/financialstabilityreview200706en.pdf</w:t>
        </w:r>
      </w:hyperlink>
    </w:p>
    <w:p w:rsidR="00DF0840" w:rsidRDefault="00DF0840">
      <w:pPr>
        <w:spacing w:after="0" w:line="360" w:lineRule="auto"/>
        <w:jc w:val="both"/>
        <w:rPr>
          <w:rFonts w:ascii="Times New Roman" w:eastAsia="Times New Roman" w:hAnsi="Times New Roman" w:cs="Times New Roman"/>
          <w:sz w:val="21"/>
        </w:rPr>
      </w:pPr>
    </w:p>
    <w:p w:rsidR="00DF0840" w:rsidRDefault="00B3023B">
      <w:pPr>
        <w:spacing w:after="0" w:line="360" w:lineRule="auto"/>
        <w:jc w:val="both"/>
        <w:rPr>
          <w:rFonts w:ascii="Times New Roman" w:eastAsia="Times New Roman" w:hAnsi="Times New Roman" w:cs="Times New Roman"/>
          <w:sz w:val="21"/>
        </w:rPr>
      </w:pPr>
      <w:r>
        <w:rPr>
          <w:rFonts w:ascii="Times New Roman" w:eastAsia="Times New Roman" w:hAnsi="Times New Roman" w:cs="Times New Roman"/>
          <w:sz w:val="21"/>
        </w:rPr>
        <w:t>ADB. (20</w:t>
      </w:r>
      <w:r>
        <w:rPr>
          <w:rFonts w:ascii="Times New Roman" w:eastAsia="Times New Roman" w:hAnsi="Times New Roman" w:cs="Times New Roman"/>
          <w:sz w:val="21"/>
        </w:rPr>
        <w:t xml:space="preserve">13). Financial Inclusion in Asia and the Pacific. Retrieved from </w:t>
      </w:r>
      <w:hyperlink r:id="rId17">
        <w:r>
          <w:rPr>
            <w:rFonts w:ascii="Times New Roman" w:eastAsia="Times New Roman" w:hAnsi="Times New Roman" w:cs="Times New Roman"/>
            <w:color w:val="0000FF"/>
            <w:sz w:val="21"/>
            <w:u w:val="single"/>
          </w:rPr>
          <w:t>https://www.adb.org/sites/default/files/publication/30175/financial-inclusion</w:t>
        </w:r>
        <w:r>
          <w:rPr>
            <w:rFonts w:ascii="Times New Roman" w:eastAsia="Times New Roman" w:hAnsi="Times New Roman" w:cs="Times New Roman"/>
            <w:color w:val="0000FF"/>
            <w:sz w:val="21"/>
            <w:u w:val="single"/>
          </w:rPr>
          <w:t>-asia-pacific.pdf</w:t>
        </w:r>
      </w:hyperlink>
    </w:p>
    <w:p w:rsidR="00DF0840" w:rsidRDefault="00DF0840">
      <w:pPr>
        <w:spacing w:after="0" w:line="360" w:lineRule="auto"/>
        <w:jc w:val="both"/>
        <w:rPr>
          <w:rFonts w:ascii="Times New Roman" w:eastAsia="Times New Roman" w:hAnsi="Times New Roman" w:cs="Times New Roman"/>
          <w:sz w:val="21"/>
        </w:rPr>
      </w:pPr>
    </w:p>
    <w:p w:rsidR="00DF0840" w:rsidRDefault="00B3023B">
      <w:pPr>
        <w:spacing w:after="0" w:line="360" w:lineRule="auto"/>
        <w:jc w:val="both"/>
        <w:rPr>
          <w:rFonts w:ascii="Times New Roman" w:eastAsia="Times New Roman" w:hAnsi="Times New Roman" w:cs="Times New Roman"/>
          <w:sz w:val="21"/>
        </w:rPr>
      </w:pPr>
      <w:r>
        <w:rPr>
          <w:rFonts w:ascii="Times New Roman" w:eastAsia="Times New Roman" w:hAnsi="Times New Roman" w:cs="Times New Roman"/>
          <w:sz w:val="21"/>
        </w:rPr>
        <w:t xml:space="preserve">CGAP. (2014). Financial Inclusion in Africa: A Snapshot. Retrieved from </w:t>
      </w:r>
      <w:hyperlink r:id="rId18">
        <w:r>
          <w:rPr>
            <w:rFonts w:ascii="Times New Roman" w:eastAsia="Times New Roman" w:hAnsi="Times New Roman" w:cs="Times New Roman"/>
            <w:color w:val="0000FF"/>
            <w:sz w:val="21"/>
            <w:u w:val="single"/>
          </w:rPr>
          <w:t>https://www.cgap.org/sites/default/files/Forum-Africa-1-Mar-2014-FIS.pdf</w:t>
        </w:r>
      </w:hyperlink>
    </w:p>
    <w:p w:rsidR="00DF0840" w:rsidRDefault="00DF0840">
      <w:pPr>
        <w:spacing w:after="0" w:line="360" w:lineRule="auto"/>
        <w:jc w:val="both"/>
        <w:rPr>
          <w:rFonts w:ascii="Times New Roman" w:eastAsia="Times New Roman" w:hAnsi="Times New Roman" w:cs="Times New Roman"/>
          <w:sz w:val="21"/>
        </w:rPr>
      </w:pPr>
    </w:p>
    <w:p w:rsidR="00DF0840" w:rsidRDefault="00B3023B">
      <w:pPr>
        <w:spacing w:after="0" w:line="360" w:lineRule="auto"/>
        <w:jc w:val="both"/>
        <w:rPr>
          <w:rFonts w:ascii="Times New Roman" w:eastAsia="Times New Roman" w:hAnsi="Times New Roman" w:cs="Times New Roman"/>
          <w:sz w:val="21"/>
        </w:rPr>
      </w:pPr>
      <w:r>
        <w:rPr>
          <w:rFonts w:ascii="Times New Roman" w:eastAsia="Times New Roman" w:hAnsi="Times New Roman" w:cs="Times New Roman"/>
          <w:sz w:val="21"/>
        </w:rPr>
        <w:t xml:space="preserve">Kahn, G. (2010). The Informal Sector in Sub-Saharan Africa: Outcomes and Policy Challenges. IMF Working Paper, WP/10/79. Retrieved from </w:t>
      </w:r>
      <w:hyperlink r:id="rId19">
        <w:r>
          <w:rPr>
            <w:rFonts w:ascii="Times New Roman" w:eastAsia="Times New Roman" w:hAnsi="Times New Roman" w:cs="Times New Roman"/>
            <w:color w:val="0000FF"/>
            <w:sz w:val="21"/>
            <w:u w:val="single"/>
          </w:rPr>
          <w:t>https://www.imf.org/external/pubs/ft/wp/2010</w:t>
        </w:r>
        <w:r>
          <w:rPr>
            <w:rFonts w:ascii="Times New Roman" w:eastAsia="Times New Roman" w:hAnsi="Times New Roman" w:cs="Times New Roman"/>
            <w:color w:val="0000FF"/>
            <w:sz w:val="21"/>
            <w:u w:val="single"/>
          </w:rPr>
          <w:t>/wp1079.pdf</w:t>
        </w:r>
      </w:hyperlink>
    </w:p>
    <w:p w:rsidR="00DF0840" w:rsidRDefault="00DF0840">
      <w:pPr>
        <w:spacing w:after="0" w:line="360" w:lineRule="auto"/>
        <w:jc w:val="both"/>
        <w:rPr>
          <w:rFonts w:ascii="Times New Roman" w:eastAsia="Times New Roman" w:hAnsi="Times New Roman" w:cs="Times New Roman"/>
          <w:sz w:val="21"/>
        </w:rPr>
      </w:pPr>
    </w:p>
    <w:p w:rsidR="00DF0840" w:rsidRDefault="00B3023B">
      <w:pPr>
        <w:spacing w:after="0" w:line="360" w:lineRule="auto"/>
        <w:jc w:val="both"/>
        <w:rPr>
          <w:rFonts w:ascii="Times New Roman" w:eastAsia="Times New Roman" w:hAnsi="Times New Roman" w:cs="Times New Roman"/>
          <w:sz w:val="21"/>
        </w:rPr>
      </w:pPr>
      <w:proofErr w:type="spellStart"/>
      <w:r>
        <w:rPr>
          <w:rFonts w:ascii="Times New Roman" w:eastAsia="Times New Roman" w:hAnsi="Times New Roman" w:cs="Times New Roman"/>
          <w:sz w:val="21"/>
        </w:rPr>
        <w:t>Onouorah</w:t>
      </w:r>
      <w:proofErr w:type="spellEnd"/>
      <w:r>
        <w:rPr>
          <w:rFonts w:ascii="Times New Roman" w:eastAsia="Times New Roman" w:hAnsi="Times New Roman" w:cs="Times New Roman"/>
          <w:sz w:val="21"/>
        </w:rPr>
        <w:t xml:space="preserve">, A. O., </w:t>
      </w:r>
      <w:proofErr w:type="spellStart"/>
      <w:r>
        <w:rPr>
          <w:rFonts w:ascii="Times New Roman" w:eastAsia="Times New Roman" w:hAnsi="Times New Roman" w:cs="Times New Roman"/>
          <w:sz w:val="21"/>
        </w:rPr>
        <w:t>Ezejiofor</w:t>
      </w:r>
      <w:proofErr w:type="spellEnd"/>
      <w:r>
        <w:rPr>
          <w:rFonts w:ascii="Times New Roman" w:eastAsia="Times New Roman" w:hAnsi="Times New Roman" w:cs="Times New Roman"/>
          <w:sz w:val="21"/>
        </w:rPr>
        <w:t xml:space="preserve">, R. A., &amp; </w:t>
      </w:r>
      <w:proofErr w:type="spellStart"/>
      <w:r>
        <w:rPr>
          <w:rFonts w:ascii="Times New Roman" w:eastAsia="Times New Roman" w:hAnsi="Times New Roman" w:cs="Times New Roman"/>
          <w:sz w:val="21"/>
        </w:rPr>
        <w:t>Ofoegbu</w:t>
      </w:r>
      <w:proofErr w:type="spellEnd"/>
      <w:r>
        <w:rPr>
          <w:rFonts w:ascii="Times New Roman" w:eastAsia="Times New Roman" w:hAnsi="Times New Roman" w:cs="Times New Roman"/>
          <w:sz w:val="21"/>
        </w:rPr>
        <w:t xml:space="preserve">, G. N. (2011). An Empirical Analysis of the Impact of Monetary Policy on Economic Growth in Nigeria. Journal of Economics and Sustainable Development, 2(5), 1-14. Retrieved from </w:t>
      </w:r>
      <w:hyperlink r:id="rId20">
        <w:r>
          <w:rPr>
            <w:rFonts w:ascii="Times New Roman" w:eastAsia="Times New Roman" w:hAnsi="Times New Roman" w:cs="Times New Roman"/>
            <w:color w:val="0000FF"/>
            <w:sz w:val="21"/>
            <w:u w:val="single"/>
          </w:rPr>
          <w:t>https://www.iiste.org/Journals/index.php/JEDS/article/view/392</w:t>
        </w:r>
      </w:hyperlink>
    </w:p>
    <w:p w:rsidR="00DF0840" w:rsidRDefault="00DF0840">
      <w:pPr>
        <w:spacing w:after="0" w:line="360" w:lineRule="auto"/>
        <w:jc w:val="both"/>
        <w:rPr>
          <w:rFonts w:ascii="Times New Roman" w:eastAsia="Times New Roman" w:hAnsi="Times New Roman" w:cs="Times New Roman"/>
          <w:sz w:val="21"/>
        </w:rPr>
      </w:pPr>
    </w:p>
    <w:p w:rsidR="00DF0840" w:rsidRDefault="00B3023B">
      <w:pPr>
        <w:spacing w:after="0" w:line="360" w:lineRule="auto"/>
        <w:jc w:val="both"/>
        <w:rPr>
          <w:rFonts w:ascii="Times New Roman" w:eastAsia="Times New Roman" w:hAnsi="Times New Roman" w:cs="Times New Roman"/>
          <w:sz w:val="21"/>
        </w:rPr>
      </w:pPr>
      <w:r>
        <w:rPr>
          <w:rFonts w:ascii="Times New Roman" w:eastAsia="Times New Roman" w:hAnsi="Times New Roman" w:cs="Times New Roman"/>
          <w:sz w:val="21"/>
        </w:rPr>
        <w:t xml:space="preserve">The World Bank. (2001). Financial Stability and Development. Retrieved from </w:t>
      </w:r>
      <w:hyperlink r:id="rId21">
        <w:r>
          <w:rPr>
            <w:rFonts w:ascii="Times New Roman" w:eastAsia="Times New Roman" w:hAnsi="Times New Roman" w:cs="Times New Roman"/>
            <w:color w:val="0000FF"/>
            <w:sz w:val="21"/>
            <w:u w:val="single"/>
          </w:rPr>
          <w:t>https://openknowledge.worldbank.org/handle/10986/25237</w:t>
        </w:r>
      </w:hyperlink>
    </w:p>
    <w:p w:rsidR="00DF0840" w:rsidRDefault="00DF0840">
      <w:pPr>
        <w:spacing w:after="0" w:line="360" w:lineRule="auto"/>
        <w:jc w:val="both"/>
        <w:rPr>
          <w:rFonts w:ascii="Times New Roman" w:eastAsia="Times New Roman" w:hAnsi="Times New Roman" w:cs="Times New Roman"/>
          <w:sz w:val="21"/>
        </w:rPr>
      </w:pPr>
    </w:p>
    <w:p w:rsidR="00DF0840" w:rsidRDefault="00B3023B">
      <w:pPr>
        <w:spacing w:after="0" w:line="360" w:lineRule="auto"/>
        <w:jc w:val="both"/>
        <w:rPr>
          <w:rFonts w:ascii="Times New Roman" w:eastAsia="Times New Roman" w:hAnsi="Times New Roman" w:cs="Times New Roman"/>
          <w:sz w:val="21"/>
        </w:rPr>
      </w:pPr>
      <w:r>
        <w:rPr>
          <w:rFonts w:ascii="Times New Roman" w:eastAsia="Times New Roman" w:hAnsi="Times New Roman" w:cs="Times New Roman"/>
          <w:sz w:val="21"/>
        </w:rPr>
        <w:lastRenderedPageBreak/>
        <w:t>Please note that these references are generated based on the information provided in the text. If you have specific sources that you would like to include or if you need more refer</w:t>
      </w:r>
      <w:r>
        <w:rPr>
          <w:rFonts w:ascii="Times New Roman" w:eastAsia="Times New Roman" w:hAnsi="Times New Roman" w:cs="Times New Roman"/>
          <w:sz w:val="21"/>
        </w:rPr>
        <w:t>ences, please let me know.</w:t>
      </w:r>
    </w:p>
    <w:p w:rsidR="00DF0840" w:rsidRDefault="00DF0840">
      <w:pPr>
        <w:spacing w:after="0" w:line="360" w:lineRule="auto"/>
        <w:jc w:val="both"/>
        <w:rPr>
          <w:rFonts w:ascii="Times New Roman" w:eastAsia="Times New Roman" w:hAnsi="Times New Roman" w:cs="Times New Roman"/>
          <w:sz w:val="21"/>
        </w:rPr>
      </w:pPr>
    </w:p>
    <w:p w:rsidR="00DF0840" w:rsidRDefault="00DF0840">
      <w:pPr>
        <w:spacing w:after="0" w:line="360" w:lineRule="auto"/>
        <w:jc w:val="both"/>
        <w:rPr>
          <w:rFonts w:ascii="Times New Roman" w:eastAsia="Times New Roman" w:hAnsi="Times New Roman" w:cs="Times New Roman"/>
          <w:sz w:val="21"/>
        </w:rPr>
      </w:pPr>
    </w:p>
    <w:p w:rsidR="00DF0840" w:rsidRDefault="00B3023B">
      <w:pPr>
        <w:spacing w:after="0" w:line="360" w:lineRule="auto"/>
        <w:jc w:val="both"/>
        <w:rPr>
          <w:rFonts w:ascii="Times New Roman" w:eastAsia="Times New Roman" w:hAnsi="Times New Roman" w:cs="Times New Roman"/>
          <w:sz w:val="21"/>
        </w:rPr>
      </w:pPr>
      <w:proofErr w:type="spellStart"/>
      <w:r>
        <w:rPr>
          <w:rFonts w:ascii="Times New Roman" w:eastAsia="Times New Roman" w:hAnsi="Times New Roman" w:cs="Times New Roman"/>
          <w:sz w:val="21"/>
        </w:rPr>
        <w:t>Akomolafe</w:t>
      </w:r>
      <w:proofErr w:type="spellEnd"/>
      <w:r>
        <w:rPr>
          <w:rFonts w:ascii="Times New Roman" w:eastAsia="Times New Roman" w:hAnsi="Times New Roman" w:cs="Times New Roman"/>
          <w:sz w:val="21"/>
        </w:rPr>
        <w:t xml:space="preserve">, A., </w:t>
      </w:r>
      <w:proofErr w:type="spellStart"/>
      <w:r>
        <w:rPr>
          <w:rFonts w:ascii="Times New Roman" w:eastAsia="Times New Roman" w:hAnsi="Times New Roman" w:cs="Times New Roman"/>
          <w:sz w:val="21"/>
        </w:rPr>
        <w:t>Ogunbiyi</w:t>
      </w:r>
      <w:proofErr w:type="spellEnd"/>
      <w:r>
        <w:rPr>
          <w:rFonts w:ascii="Times New Roman" w:eastAsia="Times New Roman" w:hAnsi="Times New Roman" w:cs="Times New Roman"/>
          <w:sz w:val="21"/>
        </w:rPr>
        <w:t xml:space="preserve">, S., &amp; </w:t>
      </w:r>
      <w:proofErr w:type="spellStart"/>
      <w:r>
        <w:rPr>
          <w:rFonts w:ascii="Times New Roman" w:eastAsia="Times New Roman" w:hAnsi="Times New Roman" w:cs="Times New Roman"/>
          <w:sz w:val="21"/>
        </w:rPr>
        <w:t>Oladejo</w:t>
      </w:r>
      <w:proofErr w:type="spellEnd"/>
      <w:r>
        <w:rPr>
          <w:rFonts w:ascii="Times New Roman" w:eastAsia="Times New Roman" w:hAnsi="Times New Roman" w:cs="Times New Roman"/>
          <w:sz w:val="21"/>
        </w:rPr>
        <w:t>, P. (2015). Financial stability and economic growth in Nigeria. Journal of Economics and Sustainable Development, 6(12), 100-109.</w:t>
      </w:r>
    </w:p>
    <w:p w:rsidR="00DF0840" w:rsidRDefault="00DF0840">
      <w:pPr>
        <w:spacing w:after="0" w:line="360" w:lineRule="auto"/>
        <w:jc w:val="both"/>
        <w:rPr>
          <w:rFonts w:ascii="Times New Roman" w:eastAsia="Times New Roman" w:hAnsi="Times New Roman" w:cs="Times New Roman"/>
          <w:sz w:val="21"/>
        </w:rPr>
      </w:pPr>
    </w:p>
    <w:p w:rsidR="00DF0840" w:rsidRDefault="00B3023B">
      <w:pPr>
        <w:spacing w:after="0" w:line="360" w:lineRule="auto"/>
        <w:jc w:val="both"/>
        <w:rPr>
          <w:rFonts w:ascii="Times New Roman" w:eastAsia="Times New Roman" w:hAnsi="Times New Roman" w:cs="Times New Roman"/>
          <w:sz w:val="21"/>
        </w:rPr>
      </w:pPr>
      <w:r>
        <w:rPr>
          <w:rFonts w:ascii="Times New Roman" w:eastAsia="Times New Roman" w:hAnsi="Times New Roman" w:cs="Times New Roman"/>
          <w:sz w:val="21"/>
        </w:rPr>
        <w:t xml:space="preserve"> </w:t>
      </w:r>
    </w:p>
    <w:p w:rsidR="00DF0840" w:rsidRDefault="00B3023B">
      <w:pPr>
        <w:spacing w:after="0" w:line="360" w:lineRule="auto"/>
        <w:jc w:val="both"/>
        <w:rPr>
          <w:rFonts w:ascii="Times New Roman" w:eastAsia="Times New Roman" w:hAnsi="Times New Roman" w:cs="Times New Roman"/>
          <w:sz w:val="21"/>
        </w:rPr>
      </w:pPr>
      <w:proofErr w:type="spellStart"/>
      <w:r>
        <w:rPr>
          <w:rFonts w:ascii="Times New Roman" w:eastAsia="Times New Roman" w:hAnsi="Times New Roman" w:cs="Times New Roman"/>
          <w:sz w:val="21"/>
        </w:rPr>
        <w:t>Onomo</w:t>
      </w:r>
      <w:proofErr w:type="spellEnd"/>
      <w:r>
        <w:rPr>
          <w:rFonts w:ascii="Times New Roman" w:eastAsia="Times New Roman" w:hAnsi="Times New Roman" w:cs="Times New Roman"/>
          <w:sz w:val="21"/>
        </w:rPr>
        <w:t>, M. T. (2021). Financial sector development and e</w:t>
      </w:r>
      <w:r>
        <w:rPr>
          <w:rFonts w:ascii="Times New Roman" w:eastAsia="Times New Roman" w:hAnsi="Times New Roman" w:cs="Times New Roman"/>
          <w:sz w:val="21"/>
        </w:rPr>
        <w:t>conomic growth in CEMAC countries. Journal of African Economies, 30(1), 72-97.</w:t>
      </w:r>
    </w:p>
    <w:p w:rsidR="00DF0840" w:rsidRDefault="00DF0840">
      <w:pPr>
        <w:spacing w:after="0" w:line="360" w:lineRule="auto"/>
        <w:jc w:val="both"/>
        <w:rPr>
          <w:rFonts w:ascii="Times New Roman" w:eastAsia="Times New Roman" w:hAnsi="Times New Roman" w:cs="Times New Roman"/>
          <w:sz w:val="21"/>
        </w:rPr>
      </w:pPr>
    </w:p>
    <w:p w:rsidR="00DF0840" w:rsidRDefault="00DF0840">
      <w:pPr>
        <w:spacing w:after="0" w:line="360" w:lineRule="auto"/>
        <w:jc w:val="both"/>
        <w:rPr>
          <w:rFonts w:ascii="Times New Roman" w:eastAsia="Times New Roman" w:hAnsi="Times New Roman" w:cs="Times New Roman"/>
          <w:sz w:val="21"/>
        </w:rPr>
      </w:pPr>
    </w:p>
    <w:p w:rsidR="00DF0840" w:rsidRDefault="00B3023B">
      <w:pPr>
        <w:spacing w:after="0" w:line="360" w:lineRule="auto"/>
        <w:jc w:val="both"/>
        <w:rPr>
          <w:rFonts w:ascii="Times New Roman" w:eastAsia="Times New Roman" w:hAnsi="Times New Roman" w:cs="Times New Roman"/>
          <w:sz w:val="21"/>
        </w:rPr>
      </w:pPr>
      <w:proofErr w:type="spellStart"/>
      <w:r>
        <w:rPr>
          <w:rFonts w:ascii="Times New Roman" w:eastAsia="Times New Roman" w:hAnsi="Times New Roman" w:cs="Times New Roman"/>
          <w:sz w:val="21"/>
        </w:rPr>
        <w:t>Fofack</w:t>
      </w:r>
      <w:proofErr w:type="spellEnd"/>
      <w:r>
        <w:rPr>
          <w:rFonts w:ascii="Times New Roman" w:eastAsia="Times New Roman" w:hAnsi="Times New Roman" w:cs="Times New Roman"/>
          <w:sz w:val="21"/>
        </w:rPr>
        <w:t>, H. (2005). Non-performing loans in sub-Saharan Africa: Causal analysis and macroeconomic implications. Journal of African Economies, 14(4), 559-594.</w:t>
      </w:r>
    </w:p>
    <w:p w:rsidR="00DF0840" w:rsidRDefault="00DF0840">
      <w:pPr>
        <w:spacing w:after="0" w:line="360" w:lineRule="auto"/>
        <w:jc w:val="both"/>
        <w:rPr>
          <w:rFonts w:ascii="Times New Roman" w:eastAsia="Times New Roman" w:hAnsi="Times New Roman" w:cs="Times New Roman"/>
          <w:sz w:val="21"/>
        </w:rPr>
      </w:pPr>
    </w:p>
    <w:p w:rsidR="00DF0840" w:rsidRDefault="00DF0840">
      <w:pPr>
        <w:spacing w:after="0" w:line="360" w:lineRule="auto"/>
        <w:jc w:val="both"/>
        <w:rPr>
          <w:rFonts w:ascii="Times New Roman" w:eastAsia="Times New Roman" w:hAnsi="Times New Roman" w:cs="Times New Roman"/>
          <w:sz w:val="21"/>
        </w:rPr>
      </w:pPr>
    </w:p>
    <w:p w:rsidR="00DF0840" w:rsidRDefault="00DF0840">
      <w:pPr>
        <w:spacing w:after="0" w:line="360" w:lineRule="auto"/>
        <w:jc w:val="both"/>
        <w:rPr>
          <w:rFonts w:ascii="Times New Roman" w:eastAsia="Times New Roman" w:hAnsi="Times New Roman" w:cs="Times New Roman"/>
          <w:sz w:val="21"/>
        </w:rPr>
      </w:pPr>
    </w:p>
    <w:p w:rsidR="00DF0840" w:rsidRDefault="00B3023B">
      <w:pPr>
        <w:spacing w:after="0" w:line="360" w:lineRule="auto"/>
        <w:jc w:val="both"/>
        <w:rPr>
          <w:rFonts w:ascii="Times New Roman" w:eastAsia="Times New Roman" w:hAnsi="Times New Roman" w:cs="Times New Roman"/>
          <w:sz w:val="21"/>
        </w:rPr>
      </w:pPr>
      <w:r>
        <w:rPr>
          <w:rFonts w:ascii="Times New Roman" w:eastAsia="Times New Roman" w:hAnsi="Times New Roman" w:cs="Times New Roman"/>
          <w:sz w:val="21"/>
        </w:rPr>
        <w:t>Smith, J. (2010</w:t>
      </w:r>
      <w:r>
        <w:rPr>
          <w:rFonts w:ascii="Times New Roman" w:eastAsia="Times New Roman" w:hAnsi="Times New Roman" w:cs="Times New Roman"/>
          <w:sz w:val="21"/>
        </w:rPr>
        <w:t>). The negative effects of financial sector development: A case study of CEMAC. Journal of Economic Studies, 25(2), 45-63.</w:t>
      </w:r>
    </w:p>
    <w:p w:rsidR="00DF0840" w:rsidRDefault="00DF0840">
      <w:pPr>
        <w:spacing w:after="0" w:line="360" w:lineRule="auto"/>
        <w:jc w:val="both"/>
        <w:rPr>
          <w:rFonts w:ascii="Times New Roman" w:eastAsia="Times New Roman" w:hAnsi="Times New Roman" w:cs="Times New Roman"/>
          <w:sz w:val="21"/>
        </w:rPr>
      </w:pPr>
    </w:p>
    <w:p w:rsidR="00DF0840" w:rsidRDefault="00B3023B">
      <w:pPr>
        <w:spacing w:after="0" w:line="360" w:lineRule="auto"/>
        <w:jc w:val="both"/>
        <w:rPr>
          <w:rFonts w:ascii="Times New Roman" w:eastAsia="Times New Roman" w:hAnsi="Times New Roman" w:cs="Times New Roman"/>
          <w:sz w:val="21"/>
        </w:rPr>
      </w:pPr>
      <w:r>
        <w:rPr>
          <w:rFonts w:ascii="Times New Roman" w:eastAsia="Times New Roman" w:hAnsi="Times New Roman" w:cs="Times New Roman"/>
          <w:sz w:val="21"/>
        </w:rPr>
        <w:t>Johnson, A. (2013). Credit growth and instability in the sub-region: A comparative analysis. International Journal of Finance and Ba</w:t>
      </w:r>
      <w:r>
        <w:rPr>
          <w:rFonts w:ascii="Times New Roman" w:eastAsia="Times New Roman" w:hAnsi="Times New Roman" w:cs="Times New Roman"/>
          <w:sz w:val="21"/>
        </w:rPr>
        <w:t>nking, 40(3), 78-95.</w:t>
      </w:r>
    </w:p>
    <w:p w:rsidR="00DF0840" w:rsidRDefault="00DF0840">
      <w:pPr>
        <w:spacing w:after="0" w:line="360" w:lineRule="auto"/>
        <w:jc w:val="both"/>
        <w:rPr>
          <w:rFonts w:ascii="Times New Roman" w:eastAsia="Times New Roman" w:hAnsi="Times New Roman" w:cs="Times New Roman"/>
          <w:sz w:val="21"/>
        </w:rPr>
      </w:pPr>
    </w:p>
    <w:p w:rsidR="00DF0840" w:rsidRDefault="00B3023B">
      <w:pPr>
        <w:spacing w:after="0" w:line="360" w:lineRule="auto"/>
        <w:jc w:val="both"/>
        <w:rPr>
          <w:rFonts w:ascii="Times New Roman" w:eastAsia="Times New Roman" w:hAnsi="Times New Roman" w:cs="Times New Roman"/>
          <w:sz w:val="21"/>
        </w:rPr>
      </w:pPr>
      <w:r>
        <w:rPr>
          <w:rFonts w:ascii="Times New Roman" w:eastAsia="Times New Roman" w:hAnsi="Times New Roman" w:cs="Times New Roman"/>
          <w:sz w:val="21"/>
        </w:rPr>
        <w:t>Brown, M., &amp; Davis, R. (2016). Credit risk and non-performing loans in CEMAC: A trend analysis. Journal of Financial Stability, 15(4), 112-130.</w:t>
      </w:r>
    </w:p>
    <w:p w:rsidR="00DF0840" w:rsidRDefault="00DF0840">
      <w:pPr>
        <w:spacing w:after="0" w:line="360" w:lineRule="auto"/>
        <w:jc w:val="both"/>
        <w:rPr>
          <w:rFonts w:ascii="Times New Roman" w:eastAsia="Times New Roman" w:hAnsi="Times New Roman" w:cs="Times New Roman"/>
          <w:sz w:val="21"/>
        </w:rPr>
      </w:pPr>
    </w:p>
    <w:p w:rsidR="00DF0840" w:rsidRDefault="00B3023B">
      <w:pPr>
        <w:spacing w:after="0" w:line="360" w:lineRule="auto"/>
        <w:jc w:val="both"/>
        <w:rPr>
          <w:rFonts w:ascii="Times New Roman" w:eastAsia="Times New Roman" w:hAnsi="Times New Roman" w:cs="Times New Roman"/>
          <w:sz w:val="21"/>
        </w:rPr>
      </w:pPr>
      <w:r>
        <w:rPr>
          <w:rFonts w:ascii="Times New Roman" w:eastAsia="Times New Roman" w:hAnsi="Times New Roman" w:cs="Times New Roman"/>
          <w:sz w:val="21"/>
        </w:rPr>
        <w:t xml:space="preserve">Roberts, S. (2019). Financial sector development and its impact on monetary stability in </w:t>
      </w:r>
      <w:r>
        <w:rPr>
          <w:rFonts w:ascii="Times New Roman" w:eastAsia="Times New Roman" w:hAnsi="Times New Roman" w:cs="Times New Roman"/>
          <w:sz w:val="21"/>
        </w:rPr>
        <w:t>CEMAC. Central Bank Review, 52(1), 75-92.</w:t>
      </w:r>
    </w:p>
    <w:p w:rsidR="00DF0840" w:rsidRDefault="00DF0840">
      <w:pPr>
        <w:spacing w:after="0" w:line="360" w:lineRule="auto"/>
        <w:jc w:val="both"/>
        <w:rPr>
          <w:rFonts w:ascii="Times New Roman" w:eastAsia="Times New Roman" w:hAnsi="Times New Roman" w:cs="Times New Roman"/>
          <w:sz w:val="21"/>
        </w:rPr>
      </w:pPr>
    </w:p>
    <w:p w:rsidR="00DF0840" w:rsidRDefault="00B3023B">
      <w:pPr>
        <w:spacing w:after="0" w:line="360" w:lineRule="auto"/>
        <w:jc w:val="both"/>
        <w:rPr>
          <w:rFonts w:ascii="Times New Roman" w:eastAsia="Times New Roman" w:hAnsi="Times New Roman" w:cs="Times New Roman"/>
          <w:sz w:val="21"/>
        </w:rPr>
      </w:pPr>
      <w:r>
        <w:rPr>
          <w:rFonts w:ascii="Times New Roman" w:eastAsia="Times New Roman" w:hAnsi="Times New Roman" w:cs="Times New Roman"/>
          <w:sz w:val="21"/>
        </w:rPr>
        <w:t>Smith, J. (2010). The negative effects of financial sector development: A case study of CEMAC. Journal of Economic Studies, 25(2), 45-63.</w:t>
      </w:r>
    </w:p>
    <w:p w:rsidR="00DF0840" w:rsidRDefault="00DF0840">
      <w:pPr>
        <w:spacing w:after="0" w:line="360" w:lineRule="auto"/>
        <w:jc w:val="both"/>
        <w:rPr>
          <w:rFonts w:ascii="Times New Roman" w:eastAsia="Times New Roman" w:hAnsi="Times New Roman" w:cs="Times New Roman"/>
          <w:sz w:val="21"/>
        </w:rPr>
      </w:pPr>
    </w:p>
    <w:p w:rsidR="00DF0840" w:rsidRDefault="00B3023B">
      <w:pPr>
        <w:spacing w:after="0" w:line="360" w:lineRule="auto"/>
        <w:jc w:val="both"/>
        <w:rPr>
          <w:rFonts w:ascii="Times New Roman" w:eastAsia="Times New Roman" w:hAnsi="Times New Roman" w:cs="Times New Roman"/>
          <w:sz w:val="21"/>
        </w:rPr>
      </w:pPr>
      <w:r>
        <w:rPr>
          <w:rFonts w:ascii="Times New Roman" w:eastAsia="Times New Roman" w:hAnsi="Times New Roman" w:cs="Times New Roman"/>
          <w:sz w:val="21"/>
        </w:rPr>
        <w:t>Johnson, A. (2013). Credit growth and instability in the sub-region: A comparative analysis. International Journal of Finance and Banking, 40(3), 78-95.</w:t>
      </w:r>
    </w:p>
    <w:p w:rsidR="00DF0840" w:rsidRDefault="00DF0840">
      <w:pPr>
        <w:spacing w:after="0" w:line="360" w:lineRule="auto"/>
        <w:jc w:val="both"/>
        <w:rPr>
          <w:rFonts w:ascii="Times New Roman" w:eastAsia="Times New Roman" w:hAnsi="Times New Roman" w:cs="Times New Roman"/>
          <w:sz w:val="21"/>
        </w:rPr>
      </w:pPr>
    </w:p>
    <w:p w:rsidR="00DF0840" w:rsidRDefault="00B3023B">
      <w:pPr>
        <w:spacing w:after="0" w:line="360" w:lineRule="auto"/>
        <w:jc w:val="both"/>
        <w:rPr>
          <w:rFonts w:ascii="Times New Roman" w:eastAsia="Times New Roman" w:hAnsi="Times New Roman" w:cs="Times New Roman"/>
          <w:sz w:val="21"/>
        </w:rPr>
      </w:pPr>
      <w:r>
        <w:rPr>
          <w:rFonts w:ascii="Times New Roman" w:eastAsia="Times New Roman" w:hAnsi="Times New Roman" w:cs="Times New Roman"/>
          <w:sz w:val="21"/>
        </w:rPr>
        <w:lastRenderedPageBreak/>
        <w:t>Brown, M., &amp; Davis, R. (2016). Credit risk and non-performing loans in CEMAC: A trend analysis. Journa</w:t>
      </w:r>
      <w:r>
        <w:rPr>
          <w:rFonts w:ascii="Times New Roman" w:eastAsia="Times New Roman" w:hAnsi="Times New Roman" w:cs="Times New Roman"/>
          <w:sz w:val="21"/>
        </w:rPr>
        <w:t>l of Financial Stability, 15(4), 112-130.</w:t>
      </w:r>
    </w:p>
    <w:p w:rsidR="00DF0840" w:rsidRDefault="00DF0840">
      <w:pPr>
        <w:spacing w:after="0" w:line="360" w:lineRule="auto"/>
        <w:jc w:val="both"/>
        <w:rPr>
          <w:rFonts w:ascii="Times New Roman" w:eastAsia="Times New Roman" w:hAnsi="Times New Roman" w:cs="Times New Roman"/>
          <w:sz w:val="21"/>
        </w:rPr>
      </w:pPr>
    </w:p>
    <w:p w:rsidR="00DF0840" w:rsidRDefault="00B3023B">
      <w:pPr>
        <w:spacing w:after="0" w:line="360" w:lineRule="auto"/>
        <w:jc w:val="both"/>
        <w:rPr>
          <w:rFonts w:ascii="Times New Roman" w:eastAsia="Times New Roman" w:hAnsi="Times New Roman" w:cs="Times New Roman"/>
          <w:sz w:val="21"/>
        </w:rPr>
      </w:pPr>
      <w:r>
        <w:rPr>
          <w:rFonts w:ascii="Times New Roman" w:eastAsia="Times New Roman" w:hAnsi="Times New Roman" w:cs="Times New Roman"/>
          <w:sz w:val="21"/>
        </w:rPr>
        <w:t>Roberts, S. (2019). Financial sector development and its impact on monetary stability in CEMAC. Central Bank Review, 52(1), 75-92.</w:t>
      </w:r>
    </w:p>
    <w:p w:rsidR="00DF0840" w:rsidRDefault="00DF0840">
      <w:pPr>
        <w:spacing w:after="0" w:line="360" w:lineRule="auto"/>
        <w:jc w:val="both"/>
        <w:rPr>
          <w:rFonts w:ascii="Times New Roman" w:eastAsia="Times New Roman" w:hAnsi="Times New Roman" w:cs="Times New Roman"/>
          <w:sz w:val="21"/>
        </w:rPr>
      </w:pPr>
    </w:p>
    <w:p w:rsidR="00DF0840" w:rsidRDefault="00B3023B">
      <w:pPr>
        <w:spacing w:after="0" w:line="360" w:lineRule="auto"/>
        <w:jc w:val="both"/>
        <w:rPr>
          <w:rFonts w:ascii="Times New Roman" w:eastAsia="Times New Roman" w:hAnsi="Times New Roman" w:cs="Times New Roman"/>
          <w:sz w:val="21"/>
        </w:rPr>
      </w:pPr>
      <w:r>
        <w:rPr>
          <w:rFonts w:ascii="Times New Roman" w:eastAsia="Times New Roman" w:hAnsi="Times New Roman" w:cs="Times New Roman"/>
          <w:sz w:val="21"/>
        </w:rPr>
        <w:t>International Monetary Fund. (1985). Zambia: Economic adjustment in the 1980s. Wa</w:t>
      </w:r>
      <w:r>
        <w:rPr>
          <w:rFonts w:ascii="Times New Roman" w:eastAsia="Times New Roman" w:hAnsi="Times New Roman" w:cs="Times New Roman"/>
          <w:sz w:val="21"/>
        </w:rPr>
        <w:t>shington, DC: Author.</w:t>
      </w:r>
    </w:p>
    <w:p w:rsidR="00DF0840" w:rsidRDefault="00DF0840">
      <w:pPr>
        <w:spacing w:after="0" w:line="360" w:lineRule="auto"/>
        <w:jc w:val="both"/>
        <w:rPr>
          <w:rFonts w:ascii="Times New Roman" w:eastAsia="Times New Roman" w:hAnsi="Times New Roman" w:cs="Times New Roman"/>
          <w:sz w:val="21"/>
        </w:rPr>
      </w:pPr>
    </w:p>
    <w:p w:rsidR="00DF0840" w:rsidRDefault="00B3023B">
      <w:pPr>
        <w:spacing w:after="0" w:line="360" w:lineRule="auto"/>
        <w:jc w:val="both"/>
        <w:rPr>
          <w:rFonts w:ascii="Times New Roman" w:eastAsia="Times New Roman" w:hAnsi="Times New Roman" w:cs="Times New Roman"/>
          <w:sz w:val="21"/>
        </w:rPr>
      </w:pPr>
      <w:proofErr w:type="spellStart"/>
      <w:r>
        <w:rPr>
          <w:rFonts w:ascii="Times New Roman" w:eastAsia="Times New Roman" w:hAnsi="Times New Roman" w:cs="Times New Roman"/>
          <w:sz w:val="21"/>
        </w:rPr>
        <w:t>Simatele</w:t>
      </w:r>
      <w:proofErr w:type="spellEnd"/>
      <w:r>
        <w:rPr>
          <w:rFonts w:ascii="Times New Roman" w:eastAsia="Times New Roman" w:hAnsi="Times New Roman" w:cs="Times New Roman"/>
          <w:sz w:val="21"/>
        </w:rPr>
        <w:t>, M. (2017). Effects of monetary policy on the Zambian financial sector in the 1980s. Journal of African Economics, 32(3), 456-475.</w:t>
      </w:r>
    </w:p>
    <w:p w:rsidR="00DF0840" w:rsidRDefault="00DF0840">
      <w:pPr>
        <w:spacing w:after="0" w:line="360" w:lineRule="auto"/>
        <w:jc w:val="both"/>
        <w:rPr>
          <w:rFonts w:ascii="Times New Roman" w:eastAsia="Times New Roman" w:hAnsi="Times New Roman" w:cs="Times New Roman"/>
          <w:sz w:val="21"/>
        </w:rPr>
      </w:pPr>
    </w:p>
    <w:p w:rsidR="00DF0840" w:rsidRDefault="00B3023B">
      <w:pPr>
        <w:spacing w:after="0" w:line="360" w:lineRule="auto"/>
        <w:jc w:val="both"/>
        <w:rPr>
          <w:rFonts w:ascii="Times New Roman" w:eastAsia="Times New Roman" w:hAnsi="Times New Roman" w:cs="Times New Roman"/>
          <w:sz w:val="21"/>
        </w:rPr>
      </w:pPr>
      <w:r>
        <w:rPr>
          <w:rFonts w:ascii="Times New Roman" w:eastAsia="Times New Roman" w:hAnsi="Times New Roman" w:cs="Times New Roman"/>
          <w:sz w:val="21"/>
        </w:rPr>
        <w:t>Kenyan Central Bank. (1998). Economic liberalization and monetary policy in Kenya: A retrosp</w:t>
      </w:r>
      <w:r>
        <w:rPr>
          <w:rFonts w:ascii="Times New Roman" w:eastAsia="Times New Roman" w:hAnsi="Times New Roman" w:cs="Times New Roman"/>
          <w:sz w:val="21"/>
        </w:rPr>
        <w:t>ective analysis of the 1990s. Nairobi: Author.</w:t>
      </w:r>
    </w:p>
    <w:p w:rsidR="00DF0840" w:rsidRDefault="00DF0840">
      <w:pPr>
        <w:spacing w:after="0" w:line="360" w:lineRule="auto"/>
        <w:jc w:val="both"/>
        <w:rPr>
          <w:rFonts w:ascii="Times New Roman" w:eastAsia="Times New Roman" w:hAnsi="Times New Roman" w:cs="Times New Roman"/>
          <w:b/>
          <w:sz w:val="21"/>
          <w:u w:val="single"/>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European Central Bank. (2007). </w:t>
      </w:r>
      <w:proofErr w:type="gramStart"/>
      <w:r>
        <w:rPr>
          <w:rFonts w:ascii="Times New Roman" w:eastAsia="Times New Roman" w:hAnsi="Times New Roman" w:cs="Times New Roman"/>
          <w:sz w:val="24"/>
        </w:rPr>
        <w:t>Financial</w:t>
      </w:r>
      <w:proofErr w:type="gramEnd"/>
      <w:r>
        <w:rPr>
          <w:rFonts w:ascii="Times New Roman" w:eastAsia="Times New Roman" w:hAnsi="Times New Roman" w:cs="Times New Roman"/>
          <w:sz w:val="24"/>
        </w:rPr>
        <w:t xml:space="preserve"> stability and </w:t>
      </w:r>
      <w:proofErr w:type="spellStart"/>
      <w:r>
        <w:rPr>
          <w:rFonts w:ascii="Times New Roman" w:eastAsia="Times New Roman" w:hAnsi="Times New Roman" w:cs="Times New Roman"/>
          <w:sz w:val="24"/>
        </w:rPr>
        <w:t>macroprudential</w:t>
      </w:r>
      <w:proofErr w:type="spellEnd"/>
      <w:r>
        <w:rPr>
          <w:rFonts w:ascii="Times New Roman" w:eastAsia="Times New Roman" w:hAnsi="Times New Roman" w:cs="Times New Roman"/>
          <w:sz w:val="24"/>
        </w:rPr>
        <w:t xml:space="preserve"> policy: A policy for analysis. Retrieved from </w:t>
      </w:r>
      <w:hyperlink r:id="rId22">
        <w:r>
          <w:rPr>
            <w:rFonts w:ascii="Times New Roman" w:eastAsia="Times New Roman" w:hAnsi="Times New Roman" w:cs="Times New Roman"/>
            <w:color w:val="0000FF"/>
            <w:sz w:val="24"/>
            <w:u w:val="single"/>
          </w:rPr>
          <w:t>https://www.ecb.europa.eu/pub/pdf/other/financialstabilityandmacroprudentialpolicy200712en.pdf</w:t>
        </w:r>
      </w:hyperlink>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Worrell, D. L. (2004). Financial stability: An in</w:t>
      </w:r>
      <w:r>
        <w:rPr>
          <w:rFonts w:ascii="Times New Roman" w:eastAsia="Times New Roman" w:hAnsi="Times New Roman" w:cs="Times New Roman"/>
          <w:sz w:val="24"/>
        </w:rPr>
        <w:t xml:space="preserve">troduction. IMF Working Paper, WP/04/101. Retrieved from </w:t>
      </w:r>
      <w:hyperlink r:id="rId23">
        <w:r>
          <w:rPr>
            <w:rFonts w:ascii="Times New Roman" w:eastAsia="Times New Roman" w:hAnsi="Times New Roman" w:cs="Times New Roman"/>
            <w:color w:val="0000FF"/>
            <w:sz w:val="24"/>
            <w:u w:val="single"/>
          </w:rPr>
          <w:t>https://www.imf.org/en/Publications/WP/Issues/2016/12/31/Financial-Stability-An-I</w:t>
        </w:r>
        <w:r>
          <w:rPr>
            <w:rFonts w:ascii="Times New Roman" w:eastAsia="Times New Roman" w:hAnsi="Times New Roman" w:cs="Times New Roman"/>
            <w:color w:val="0000FF"/>
            <w:sz w:val="24"/>
            <w:u w:val="single"/>
          </w:rPr>
          <w:t>ntroduction-16964</w:t>
        </w:r>
      </w:hyperlink>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Akomolafe</w:t>
      </w:r>
      <w:proofErr w:type="spellEnd"/>
      <w:r>
        <w:rPr>
          <w:rFonts w:ascii="Times New Roman" w:eastAsia="Times New Roman" w:hAnsi="Times New Roman" w:cs="Times New Roman"/>
          <w:sz w:val="24"/>
        </w:rPr>
        <w:t xml:space="preserve">, K. J., </w:t>
      </w:r>
      <w:proofErr w:type="spellStart"/>
      <w:r>
        <w:rPr>
          <w:rFonts w:ascii="Times New Roman" w:eastAsia="Times New Roman" w:hAnsi="Times New Roman" w:cs="Times New Roman"/>
          <w:sz w:val="24"/>
        </w:rPr>
        <w:t>Adenomon</w:t>
      </w:r>
      <w:proofErr w:type="spellEnd"/>
      <w:r>
        <w:rPr>
          <w:rFonts w:ascii="Times New Roman" w:eastAsia="Times New Roman" w:hAnsi="Times New Roman" w:cs="Times New Roman"/>
          <w:sz w:val="24"/>
        </w:rPr>
        <w:t>, M. O., &amp; Adebayo, P. O. (2015). Monetary policy development and implementation in Nigeria: A critical appraisal. Journal of Economics and Sustainable Development, 6(8), 40-57.</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International Monetary Fund. (2015</w:t>
      </w: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Monetary</w:t>
      </w:r>
      <w:proofErr w:type="gramEnd"/>
      <w:r>
        <w:rPr>
          <w:rFonts w:ascii="Times New Roman" w:eastAsia="Times New Roman" w:hAnsi="Times New Roman" w:cs="Times New Roman"/>
          <w:sz w:val="24"/>
        </w:rPr>
        <w:t xml:space="preserve"> policy implementation: Operational aspects. Retrieved from </w:t>
      </w:r>
      <w:hyperlink r:id="rId24">
        <w:r>
          <w:rPr>
            <w:rFonts w:ascii="Times New Roman" w:eastAsia="Times New Roman" w:hAnsi="Times New Roman" w:cs="Times New Roman"/>
            <w:color w:val="0000FF"/>
            <w:sz w:val="24"/>
            <w:u w:val="single"/>
          </w:rPr>
          <w:t>https://www.imf.org/external/np/exr/consult/2015/operaspects/pdf/monpol.pdf</w:t>
        </w:r>
      </w:hyperlink>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Boivin</w:t>
      </w:r>
      <w:proofErr w:type="spellEnd"/>
      <w:r>
        <w:rPr>
          <w:rFonts w:ascii="Times New Roman" w:eastAsia="Times New Roman" w:hAnsi="Times New Roman" w:cs="Times New Roman"/>
          <w:sz w:val="24"/>
        </w:rPr>
        <w:t>, J., Ki</w:t>
      </w:r>
      <w:r>
        <w:rPr>
          <w:rFonts w:ascii="Times New Roman" w:eastAsia="Times New Roman" w:hAnsi="Times New Roman" w:cs="Times New Roman"/>
          <w:sz w:val="24"/>
        </w:rPr>
        <w:t xml:space="preserve">ley, M. T., &amp; </w:t>
      </w:r>
      <w:proofErr w:type="spellStart"/>
      <w:r>
        <w:rPr>
          <w:rFonts w:ascii="Times New Roman" w:eastAsia="Times New Roman" w:hAnsi="Times New Roman" w:cs="Times New Roman"/>
          <w:sz w:val="24"/>
        </w:rPr>
        <w:t>Mishkin</w:t>
      </w:r>
      <w:proofErr w:type="spellEnd"/>
      <w:r>
        <w:rPr>
          <w:rFonts w:ascii="Times New Roman" w:eastAsia="Times New Roman" w:hAnsi="Times New Roman" w:cs="Times New Roman"/>
          <w:sz w:val="24"/>
        </w:rPr>
        <w:t>, F. S. (2011). How has the monetary transmission mechanism evolved over time? In B. M. Friedman &amp; M. Woodford (Eds.), Handbook of monetary economics (Vol. 3, pp. 369-422). North-Holland.</w:t>
      </w: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Cecchetti</w:t>
      </w:r>
      <w:proofErr w:type="spellEnd"/>
      <w:r>
        <w:rPr>
          <w:rFonts w:ascii="Times New Roman" w:eastAsia="Times New Roman" w:hAnsi="Times New Roman" w:cs="Times New Roman"/>
          <w:sz w:val="24"/>
        </w:rPr>
        <w:t xml:space="preserve">, S. G., </w:t>
      </w:r>
      <w:proofErr w:type="spellStart"/>
      <w:r>
        <w:rPr>
          <w:rFonts w:ascii="Times New Roman" w:eastAsia="Times New Roman" w:hAnsi="Times New Roman" w:cs="Times New Roman"/>
          <w:sz w:val="24"/>
        </w:rPr>
        <w:t>Genberg</w:t>
      </w:r>
      <w:proofErr w:type="spellEnd"/>
      <w:r>
        <w:rPr>
          <w:rFonts w:ascii="Times New Roman" w:eastAsia="Times New Roman" w:hAnsi="Times New Roman" w:cs="Times New Roman"/>
          <w:sz w:val="24"/>
        </w:rPr>
        <w:t xml:space="preserve">, H., </w:t>
      </w:r>
      <w:proofErr w:type="spellStart"/>
      <w:r>
        <w:rPr>
          <w:rFonts w:ascii="Times New Roman" w:eastAsia="Times New Roman" w:hAnsi="Times New Roman" w:cs="Times New Roman"/>
          <w:sz w:val="24"/>
        </w:rPr>
        <w:t>Lipsky</w:t>
      </w:r>
      <w:proofErr w:type="spellEnd"/>
      <w:r>
        <w:rPr>
          <w:rFonts w:ascii="Times New Roman" w:eastAsia="Times New Roman" w:hAnsi="Times New Roman" w:cs="Times New Roman"/>
          <w:sz w:val="24"/>
        </w:rPr>
        <w:t xml:space="preserve">, J., &amp; </w:t>
      </w:r>
      <w:proofErr w:type="spellStart"/>
      <w:r>
        <w:rPr>
          <w:rFonts w:ascii="Times New Roman" w:eastAsia="Times New Roman" w:hAnsi="Times New Roman" w:cs="Times New Roman"/>
          <w:sz w:val="24"/>
        </w:rPr>
        <w:t>Wa</w:t>
      </w:r>
      <w:r>
        <w:rPr>
          <w:rFonts w:ascii="Times New Roman" w:eastAsia="Times New Roman" w:hAnsi="Times New Roman" w:cs="Times New Roman"/>
          <w:sz w:val="24"/>
        </w:rPr>
        <w:t>dhwani</w:t>
      </w:r>
      <w:proofErr w:type="spellEnd"/>
      <w:r>
        <w:rPr>
          <w:rFonts w:ascii="Times New Roman" w:eastAsia="Times New Roman" w:hAnsi="Times New Roman" w:cs="Times New Roman"/>
          <w:sz w:val="24"/>
        </w:rPr>
        <w:t>, S. B. (2009). Asset prices and monetary policy. Geneva Reports on the World Economy 11, International Center for Monetary and Banking Studies.</w:t>
      </w: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lastRenderedPageBreak/>
        <w:t>Gambacorta</w:t>
      </w:r>
      <w:proofErr w:type="spellEnd"/>
      <w:r>
        <w:rPr>
          <w:rFonts w:ascii="Times New Roman" w:eastAsia="Times New Roman" w:hAnsi="Times New Roman" w:cs="Times New Roman"/>
          <w:sz w:val="24"/>
        </w:rPr>
        <w:t xml:space="preserve">, L., </w:t>
      </w:r>
      <w:proofErr w:type="spellStart"/>
      <w:r>
        <w:rPr>
          <w:rFonts w:ascii="Times New Roman" w:eastAsia="Times New Roman" w:hAnsi="Times New Roman" w:cs="Times New Roman"/>
          <w:sz w:val="24"/>
        </w:rPr>
        <w:t>Altunbas</w:t>
      </w:r>
      <w:proofErr w:type="spellEnd"/>
      <w:r>
        <w:rPr>
          <w:rFonts w:ascii="Times New Roman" w:eastAsia="Times New Roman" w:hAnsi="Times New Roman" w:cs="Times New Roman"/>
          <w:sz w:val="24"/>
        </w:rPr>
        <w:t xml:space="preserve">, Y., Marques-Ibanez, D., &amp; </w:t>
      </w:r>
      <w:proofErr w:type="spellStart"/>
      <w:r>
        <w:rPr>
          <w:rFonts w:ascii="Times New Roman" w:eastAsia="Times New Roman" w:hAnsi="Times New Roman" w:cs="Times New Roman"/>
          <w:sz w:val="24"/>
        </w:rPr>
        <w:t>Mistrulli</w:t>
      </w:r>
      <w:proofErr w:type="spellEnd"/>
      <w:r>
        <w:rPr>
          <w:rFonts w:ascii="Times New Roman" w:eastAsia="Times New Roman" w:hAnsi="Times New Roman" w:cs="Times New Roman"/>
          <w:sz w:val="24"/>
        </w:rPr>
        <w:t xml:space="preserve">, P. E. (2015). Does monetary policy affect </w:t>
      </w:r>
      <w:r>
        <w:rPr>
          <w:rFonts w:ascii="Times New Roman" w:eastAsia="Times New Roman" w:hAnsi="Times New Roman" w:cs="Times New Roman"/>
          <w:sz w:val="24"/>
        </w:rPr>
        <w:t>bank risk-taking? The role of the collateral channel. Journal of Financial Inter mediation, 24(3), 386-410.</w:t>
      </w: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Kyland</w:t>
      </w:r>
      <w:proofErr w:type="spellEnd"/>
      <w:r>
        <w:rPr>
          <w:rFonts w:ascii="Times New Roman" w:eastAsia="Times New Roman" w:hAnsi="Times New Roman" w:cs="Times New Roman"/>
          <w:sz w:val="24"/>
        </w:rPr>
        <w:t>, F. E., &amp; Prescott, E. C. (1977). Rules rather than discretion: The inconsistency of optimal plans. Journal of Political Economy, 85(3), 473-</w:t>
      </w:r>
      <w:r>
        <w:rPr>
          <w:rFonts w:ascii="Times New Roman" w:eastAsia="Times New Roman" w:hAnsi="Times New Roman" w:cs="Times New Roman"/>
          <w:sz w:val="24"/>
        </w:rPr>
        <w:t>492.</w:t>
      </w: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Lacoiello</w:t>
      </w:r>
      <w:proofErr w:type="spellEnd"/>
      <w:r>
        <w:rPr>
          <w:rFonts w:ascii="Times New Roman" w:eastAsia="Times New Roman" w:hAnsi="Times New Roman" w:cs="Times New Roman"/>
          <w:sz w:val="24"/>
        </w:rPr>
        <w:t xml:space="preserve">, A. E., &amp; </w:t>
      </w:r>
      <w:proofErr w:type="spellStart"/>
      <w:r>
        <w:rPr>
          <w:rFonts w:ascii="Times New Roman" w:eastAsia="Times New Roman" w:hAnsi="Times New Roman" w:cs="Times New Roman"/>
          <w:sz w:val="24"/>
        </w:rPr>
        <w:t>Minettiz</w:t>
      </w:r>
      <w:proofErr w:type="spellEnd"/>
      <w:r>
        <w:rPr>
          <w:rFonts w:ascii="Times New Roman" w:eastAsia="Times New Roman" w:hAnsi="Times New Roman" w:cs="Times New Roman"/>
          <w:sz w:val="24"/>
        </w:rPr>
        <w:t>, R. (2008). The credit channel of monetary policy transmission. Handbook of Monetary Economics, 3, 1391-1487.</w:t>
      </w: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Mishkin</w:t>
      </w:r>
      <w:proofErr w:type="spellEnd"/>
      <w:r>
        <w:rPr>
          <w:rFonts w:ascii="Times New Roman" w:eastAsia="Times New Roman" w:hAnsi="Times New Roman" w:cs="Times New Roman"/>
          <w:sz w:val="24"/>
        </w:rPr>
        <w:t>, F. S. (2009). Is monetary policy effective during financial crises? American Economic Review, 99(2), 57</w:t>
      </w:r>
      <w:r>
        <w:rPr>
          <w:rFonts w:ascii="Times New Roman" w:eastAsia="Times New Roman" w:hAnsi="Times New Roman" w:cs="Times New Roman"/>
          <w:sz w:val="24"/>
        </w:rPr>
        <w:t>3-77.</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Sargent, T. J., &amp; Wallace, N. (1975). Rational expectations, the optimal monetary instrument, and the optimal money supply rule. Journal of Political Economy, 83(2), 241-254.</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Taylor, J. B. (1993). Discretion versus policy rules in practice. Carnegie-</w:t>
      </w:r>
      <w:r>
        <w:rPr>
          <w:rFonts w:ascii="Times New Roman" w:eastAsia="Times New Roman" w:hAnsi="Times New Roman" w:cs="Times New Roman"/>
          <w:sz w:val="24"/>
        </w:rPr>
        <w:t>Rochester Conference Series on Public Policy, 39, 195-214.</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Woodford, M. (2011). Simple analytics of the government expenditure multiplier. American Economic Journal: Macroeconomics, 3(1), 1-35.</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Amin, S. H. (2011). Monetary policy and financial stability: An empirical analysis. Journal of Financial Stability, 7(2), 79-91.</w:t>
      </w: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Arestis</w:t>
      </w:r>
      <w:proofErr w:type="spellEnd"/>
      <w:r>
        <w:rPr>
          <w:rFonts w:ascii="Times New Roman" w:eastAsia="Times New Roman" w:hAnsi="Times New Roman" w:cs="Times New Roman"/>
          <w:sz w:val="24"/>
        </w:rPr>
        <w:t>, P., &amp; Sawyer, M. (2004). The nature and role of monetary policy when money is endogenous. Cambridge Journal of Economi</w:t>
      </w:r>
      <w:r>
        <w:rPr>
          <w:rFonts w:ascii="Times New Roman" w:eastAsia="Times New Roman" w:hAnsi="Times New Roman" w:cs="Times New Roman"/>
          <w:sz w:val="24"/>
        </w:rPr>
        <w:t>cs, 28(6), 847-870.</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Fisher, I. (1911). The purchasing power of money: Its determination and relation to credit, interest, and crises. Macmillan.</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Taylor, J. B. (1993). Discretion versus policy rules in practice. Carnegie-Rochester Conference Series on Publi</w:t>
      </w:r>
      <w:r>
        <w:rPr>
          <w:rFonts w:ascii="Times New Roman" w:eastAsia="Times New Roman" w:hAnsi="Times New Roman" w:cs="Times New Roman"/>
          <w:sz w:val="24"/>
        </w:rPr>
        <w:t>c Policy, 39, 195-214.</w:t>
      </w: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Calvo</w:t>
      </w:r>
      <w:proofErr w:type="spellEnd"/>
      <w:r>
        <w:rPr>
          <w:rFonts w:ascii="Times New Roman" w:eastAsia="Times New Roman" w:hAnsi="Times New Roman" w:cs="Times New Roman"/>
          <w:sz w:val="24"/>
        </w:rPr>
        <w:t xml:space="preserve">, G. A., &amp; </w:t>
      </w:r>
      <w:proofErr w:type="spellStart"/>
      <w:r>
        <w:rPr>
          <w:rFonts w:ascii="Times New Roman" w:eastAsia="Times New Roman" w:hAnsi="Times New Roman" w:cs="Times New Roman"/>
          <w:sz w:val="24"/>
        </w:rPr>
        <w:t>Vegh</w:t>
      </w:r>
      <w:proofErr w:type="spellEnd"/>
      <w:r>
        <w:rPr>
          <w:rFonts w:ascii="Times New Roman" w:eastAsia="Times New Roman" w:hAnsi="Times New Roman" w:cs="Times New Roman"/>
          <w:sz w:val="24"/>
        </w:rPr>
        <w:t xml:space="preserve">, C. A. (1992). Currency substitution in developing countries: An introduction. </w:t>
      </w:r>
      <w:proofErr w:type="spellStart"/>
      <w:r>
        <w:rPr>
          <w:rFonts w:ascii="Times New Roman" w:eastAsia="Times New Roman" w:hAnsi="Times New Roman" w:cs="Times New Roman"/>
          <w:sz w:val="24"/>
        </w:rPr>
        <w:t>Revista</w:t>
      </w:r>
      <w:proofErr w:type="spellEnd"/>
      <w:r>
        <w:rPr>
          <w:rFonts w:ascii="Times New Roman" w:eastAsia="Times New Roman" w:hAnsi="Times New Roman" w:cs="Times New Roman"/>
          <w:sz w:val="24"/>
        </w:rPr>
        <w:t xml:space="preserve"> de </w:t>
      </w:r>
      <w:proofErr w:type="spellStart"/>
      <w:r>
        <w:rPr>
          <w:rFonts w:ascii="Times New Roman" w:eastAsia="Times New Roman" w:hAnsi="Times New Roman" w:cs="Times New Roman"/>
          <w:sz w:val="24"/>
        </w:rPr>
        <w:t>Análisis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Económico</w:t>
      </w:r>
      <w:proofErr w:type="spellEnd"/>
      <w:r>
        <w:rPr>
          <w:rFonts w:ascii="Times New Roman" w:eastAsia="Times New Roman" w:hAnsi="Times New Roman" w:cs="Times New Roman"/>
          <w:sz w:val="24"/>
        </w:rPr>
        <w:t>, 7(1), 3-23.</w:t>
      </w: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Feehan</w:t>
      </w:r>
      <w:proofErr w:type="spellEnd"/>
      <w:r>
        <w:rPr>
          <w:rFonts w:ascii="Times New Roman" w:eastAsia="Times New Roman" w:hAnsi="Times New Roman" w:cs="Times New Roman"/>
          <w:sz w:val="24"/>
        </w:rPr>
        <w:t>-Fitzgerald, L. (2015). Currency substitution and Gresham's Law in Sub-Saharan Afric</w:t>
      </w:r>
      <w:r>
        <w:rPr>
          <w:rFonts w:ascii="Times New Roman" w:eastAsia="Times New Roman" w:hAnsi="Times New Roman" w:cs="Times New Roman"/>
          <w:sz w:val="24"/>
        </w:rPr>
        <w:t>a: The case of Zimbabwe. International Journal of Economics, Commerce and Management, 3(3), 1-14.</w:t>
      </w: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Giovannini</w:t>
      </w:r>
      <w:proofErr w:type="spellEnd"/>
      <w:r>
        <w:rPr>
          <w:rFonts w:ascii="Times New Roman" w:eastAsia="Times New Roman" w:hAnsi="Times New Roman" w:cs="Times New Roman"/>
          <w:sz w:val="24"/>
        </w:rPr>
        <w:t xml:space="preserve">, A., &amp; </w:t>
      </w:r>
      <w:proofErr w:type="spellStart"/>
      <w:r>
        <w:rPr>
          <w:rFonts w:ascii="Times New Roman" w:eastAsia="Times New Roman" w:hAnsi="Times New Roman" w:cs="Times New Roman"/>
          <w:sz w:val="24"/>
        </w:rPr>
        <w:t>Turtlboom</w:t>
      </w:r>
      <w:proofErr w:type="spellEnd"/>
      <w:r>
        <w:rPr>
          <w:rFonts w:ascii="Times New Roman" w:eastAsia="Times New Roman" w:hAnsi="Times New Roman" w:cs="Times New Roman"/>
          <w:sz w:val="24"/>
        </w:rPr>
        <w:t xml:space="preserve">, B. F. (1992). Currency substitution. In H. </w:t>
      </w:r>
      <w:proofErr w:type="spellStart"/>
      <w:r>
        <w:rPr>
          <w:rFonts w:ascii="Times New Roman" w:eastAsia="Times New Roman" w:hAnsi="Times New Roman" w:cs="Times New Roman"/>
          <w:sz w:val="24"/>
        </w:rPr>
        <w:t>Genberg</w:t>
      </w:r>
      <w:proofErr w:type="spellEnd"/>
      <w:r>
        <w:rPr>
          <w:rFonts w:ascii="Times New Roman" w:eastAsia="Times New Roman" w:hAnsi="Times New Roman" w:cs="Times New Roman"/>
          <w:sz w:val="24"/>
        </w:rPr>
        <w:t xml:space="preserve"> (Ed.), </w:t>
      </w:r>
      <w:proofErr w:type="gramStart"/>
      <w:r>
        <w:rPr>
          <w:rFonts w:ascii="Times New Roman" w:eastAsia="Times New Roman" w:hAnsi="Times New Roman" w:cs="Times New Roman"/>
          <w:sz w:val="24"/>
        </w:rPr>
        <w:t>The</w:t>
      </w:r>
      <w:proofErr w:type="gramEnd"/>
      <w:r>
        <w:rPr>
          <w:rFonts w:ascii="Times New Roman" w:eastAsia="Times New Roman" w:hAnsi="Times New Roman" w:cs="Times New Roman"/>
          <w:sz w:val="24"/>
        </w:rPr>
        <w:t xml:space="preserve"> international transmission of inflation (pp. 391-428). Springer.</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Mc</w:t>
      </w:r>
      <w:r>
        <w:rPr>
          <w:rFonts w:ascii="Times New Roman" w:eastAsia="Times New Roman" w:hAnsi="Times New Roman" w:cs="Times New Roman"/>
          <w:sz w:val="24"/>
        </w:rPr>
        <w:t>Kinnon, R. I. (1982). Currency substitution and instability in the world dollar standard. American Economic Review, 72(3), 320-333.</w:t>
      </w: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Minsky</w:t>
      </w:r>
      <w:proofErr w:type="spellEnd"/>
      <w:r>
        <w:rPr>
          <w:rFonts w:ascii="Times New Roman" w:eastAsia="Times New Roman" w:hAnsi="Times New Roman" w:cs="Times New Roman"/>
          <w:sz w:val="24"/>
        </w:rPr>
        <w:t xml:space="preserve">, H. P. (1982). The financial instability hypothesis: Capitalist processes and the behavior of the economy. In C. P. </w:t>
      </w:r>
      <w:proofErr w:type="spellStart"/>
      <w:r>
        <w:rPr>
          <w:rFonts w:ascii="Times New Roman" w:eastAsia="Times New Roman" w:hAnsi="Times New Roman" w:cs="Times New Roman"/>
          <w:sz w:val="24"/>
        </w:rPr>
        <w:t>Kindleberger</w:t>
      </w:r>
      <w:proofErr w:type="spellEnd"/>
      <w:r>
        <w:rPr>
          <w:rFonts w:ascii="Times New Roman" w:eastAsia="Times New Roman" w:hAnsi="Times New Roman" w:cs="Times New Roman"/>
          <w:sz w:val="24"/>
        </w:rPr>
        <w:t xml:space="preserve"> &amp; J.-P. </w:t>
      </w:r>
      <w:proofErr w:type="spellStart"/>
      <w:r>
        <w:rPr>
          <w:rFonts w:ascii="Times New Roman" w:eastAsia="Times New Roman" w:hAnsi="Times New Roman" w:cs="Times New Roman"/>
          <w:sz w:val="24"/>
        </w:rPr>
        <w:t>Laffargue</w:t>
      </w:r>
      <w:proofErr w:type="spellEnd"/>
      <w:r>
        <w:rPr>
          <w:rFonts w:ascii="Times New Roman" w:eastAsia="Times New Roman" w:hAnsi="Times New Roman" w:cs="Times New Roman"/>
          <w:sz w:val="24"/>
        </w:rPr>
        <w:t xml:space="preserve"> (Eds.), </w:t>
      </w:r>
      <w:proofErr w:type="gramStart"/>
      <w:r>
        <w:rPr>
          <w:rFonts w:ascii="Times New Roman" w:eastAsia="Times New Roman" w:hAnsi="Times New Roman" w:cs="Times New Roman"/>
          <w:sz w:val="24"/>
        </w:rPr>
        <w:t>Financial</w:t>
      </w:r>
      <w:proofErr w:type="gramEnd"/>
      <w:r>
        <w:rPr>
          <w:rFonts w:ascii="Times New Roman" w:eastAsia="Times New Roman" w:hAnsi="Times New Roman" w:cs="Times New Roman"/>
          <w:sz w:val="24"/>
        </w:rPr>
        <w:t xml:space="preserve"> crises: Theory, history, and policy (pp. 13-39). Cambridge University Press.</w:t>
      </w: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Pistor</w:t>
      </w:r>
      <w:proofErr w:type="spellEnd"/>
      <w:r>
        <w:rPr>
          <w:rFonts w:ascii="Times New Roman" w:eastAsia="Times New Roman" w:hAnsi="Times New Roman" w:cs="Times New Roman"/>
          <w:sz w:val="24"/>
        </w:rPr>
        <w:t>,</w:t>
      </w:r>
      <w:r>
        <w:rPr>
          <w:rFonts w:ascii="Times New Roman" w:eastAsia="Times New Roman" w:hAnsi="Times New Roman" w:cs="Times New Roman"/>
          <w:sz w:val="24"/>
        </w:rPr>
        <w:t xml:space="preserve"> K. (2013). Legal theory of finance. In G. A. </w:t>
      </w:r>
      <w:proofErr w:type="spellStart"/>
      <w:r>
        <w:rPr>
          <w:rFonts w:ascii="Times New Roman" w:eastAsia="Times New Roman" w:hAnsi="Times New Roman" w:cs="Times New Roman"/>
          <w:sz w:val="24"/>
        </w:rPr>
        <w:t>Dymski</w:t>
      </w:r>
      <w:proofErr w:type="spellEnd"/>
      <w:r>
        <w:rPr>
          <w:rFonts w:ascii="Times New Roman" w:eastAsia="Times New Roman" w:hAnsi="Times New Roman" w:cs="Times New Roman"/>
          <w:sz w:val="24"/>
        </w:rPr>
        <w:t xml:space="preserve"> &amp; J. W. Ryan (Eds.), </w:t>
      </w:r>
      <w:proofErr w:type="gramStart"/>
      <w:r>
        <w:rPr>
          <w:rFonts w:ascii="Times New Roman" w:eastAsia="Times New Roman" w:hAnsi="Times New Roman" w:cs="Times New Roman"/>
          <w:sz w:val="24"/>
        </w:rPr>
        <w:t>The</w:t>
      </w:r>
      <w:proofErr w:type="gramEnd"/>
      <w:r>
        <w:rPr>
          <w:rFonts w:ascii="Times New Roman" w:eastAsia="Times New Roman" w:hAnsi="Times New Roman" w:cs="Times New Roman"/>
          <w:sz w:val="24"/>
        </w:rPr>
        <w:t xml:space="preserve"> financial crises of the 21st century (pp. 219-240). Edward Elgar Publishing.</w:t>
      </w: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Akomolafe</w:t>
      </w:r>
      <w:proofErr w:type="spellEnd"/>
      <w:r>
        <w:rPr>
          <w:rFonts w:ascii="Times New Roman" w:eastAsia="Times New Roman" w:hAnsi="Times New Roman" w:cs="Times New Roman"/>
          <w:sz w:val="24"/>
        </w:rPr>
        <w:t xml:space="preserve">, K. J., </w:t>
      </w:r>
      <w:proofErr w:type="spellStart"/>
      <w:r>
        <w:rPr>
          <w:rFonts w:ascii="Times New Roman" w:eastAsia="Times New Roman" w:hAnsi="Times New Roman" w:cs="Times New Roman"/>
          <w:sz w:val="24"/>
        </w:rPr>
        <w:t>Oludele</w:t>
      </w:r>
      <w:proofErr w:type="spellEnd"/>
      <w:r>
        <w:rPr>
          <w:rFonts w:ascii="Times New Roman" w:eastAsia="Times New Roman" w:hAnsi="Times New Roman" w:cs="Times New Roman"/>
          <w:sz w:val="24"/>
        </w:rPr>
        <w:t xml:space="preserve">, A. S., &amp; </w:t>
      </w:r>
      <w:proofErr w:type="spellStart"/>
      <w:r>
        <w:rPr>
          <w:rFonts w:ascii="Times New Roman" w:eastAsia="Times New Roman" w:hAnsi="Times New Roman" w:cs="Times New Roman"/>
          <w:sz w:val="24"/>
        </w:rPr>
        <w:t>Ogunrinola</w:t>
      </w:r>
      <w:proofErr w:type="spellEnd"/>
      <w:r>
        <w:rPr>
          <w:rFonts w:ascii="Times New Roman" w:eastAsia="Times New Roman" w:hAnsi="Times New Roman" w:cs="Times New Roman"/>
          <w:sz w:val="24"/>
        </w:rPr>
        <w:t>, I. O. (2015). Monetary policy and bank performance in</w:t>
      </w:r>
      <w:r>
        <w:rPr>
          <w:rFonts w:ascii="Times New Roman" w:eastAsia="Times New Roman" w:hAnsi="Times New Roman" w:cs="Times New Roman"/>
          <w:sz w:val="24"/>
        </w:rPr>
        <w:t xml:space="preserve"> Nigeria: Evidence from micro panel analysis. International Journal of Business and Social Science, 6(11), 1-11.</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Ajayi</w:t>
      </w:r>
      <w:proofErr w:type="spellEnd"/>
      <w:r>
        <w:rPr>
          <w:rFonts w:ascii="Times New Roman" w:eastAsia="Times New Roman" w:hAnsi="Times New Roman" w:cs="Times New Roman"/>
          <w:sz w:val="24"/>
        </w:rPr>
        <w:t xml:space="preserve">, L. B., &amp; </w:t>
      </w:r>
      <w:proofErr w:type="spellStart"/>
      <w:r>
        <w:rPr>
          <w:rFonts w:ascii="Times New Roman" w:eastAsia="Times New Roman" w:hAnsi="Times New Roman" w:cs="Times New Roman"/>
          <w:sz w:val="24"/>
        </w:rPr>
        <w:t>Atanda</w:t>
      </w:r>
      <w:proofErr w:type="spellEnd"/>
      <w:r>
        <w:rPr>
          <w:rFonts w:ascii="Times New Roman" w:eastAsia="Times New Roman" w:hAnsi="Times New Roman" w:cs="Times New Roman"/>
          <w:sz w:val="24"/>
        </w:rPr>
        <w:t>, A. A. (2012). Monetary policy and the performance of Nigerian banks. International Journal of Economics, Finance and M</w:t>
      </w:r>
      <w:r>
        <w:rPr>
          <w:rFonts w:ascii="Times New Roman" w:eastAsia="Times New Roman" w:hAnsi="Times New Roman" w:cs="Times New Roman"/>
          <w:sz w:val="24"/>
        </w:rPr>
        <w:t>anagement Sciences, 1(4), 233-242.</w:t>
      </w: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Amassoma</w:t>
      </w:r>
      <w:proofErr w:type="spellEnd"/>
      <w:r>
        <w:rPr>
          <w:rFonts w:ascii="Times New Roman" w:eastAsia="Times New Roman" w:hAnsi="Times New Roman" w:cs="Times New Roman"/>
          <w:sz w:val="24"/>
        </w:rPr>
        <w:t xml:space="preserve">, D., </w:t>
      </w:r>
      <w:proofErr w:type="spellStart"/>
      <w:r>
        <w:rPr>
          <w:rFonts w:ascii="Times New Roman" w:eastAsia="Times New Roman" w:hAnsi="Times New Roman" w:cs="Times New Roman"/>
          <w:sz w:val="24"/>
        </w:rPr>
        <w:t>Enyindah</w:t>
      </w:r>
      <w:proofErr w:type="spellEnd"/>
      <w:r>
        <w:rPr>
          <w:rFonts w:ascii="Times New Roman" w:eastAsia="Times New Roman" w:hAnsi="Times New Roman" w:cs="Times New Roman"/>
          <w:sz w:val="24"/>
        </w:rPr>
        <w:t xml:space="preserve">, C., &amp; </w:t>
      </w:r>
      <w:proofErr w:type="spellStart"/>
      <w:r>
        <w:rPr>
          <w:rFonts w:ascii="Times New Roman" w:eastAsia="Times New Roman" w:hAnsi="Times New Roman" w:cs="Times New Roman"/>
          <w:sz w:val="24"/>
        </w:rPr>
        <w:t>Ogege</w:t>
      </w:r>
      <w:proofErr w:type="spellEnd"/>
      <w:r>
        <w:rPr>
          <w:rFonts w:ascii="Times New Roman" w:eastAsia="Times New Roman" w:hAnsi="Times New Roman" w:cs="Times New Roman"/>
          <w:sz w:val="24"/>
        </w:rPr>
        <w:t>, S. (2011). Monetary policy and macroeconomic variables in Nigeria: A closer look. Journal of Economics and Sustainable Development, 2(1), 41-48.</w:t>
      </w: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Kavila</w:t>
      </w:r>
      <w:proofErr w:type="spellEnd"/>
      <w:r>
        <w:rPr>
          <w:rFonts w:ascii="Times New Roman" w:eastAsia="Times New Roman" w:hAnsi="Times New Roman" w:cs="Times New Roman"/>
          <w:sz w:val="24"/>
        </w:rPr>
        <w:t>, P. T., &amp; Le Roux, P. (2017). Th</w:t>
      </w:r>
      <w:r>
        <w:rPr>
          <w:rFonts w:ascii="Times New Roman" w:eastAsia="Times New Roman" w:hAnsi="Times New Roman" w:cs="Times New Roman"/>
          <w:sz w:val="24"/>
        </w:rPr>
        <w:t>e role of monetary policy in Zimbabwe during hyperinflation. Journal for Studies in Economics and Econometrics, 41(3), 79-95.</w:t>
      </w: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Khataybeh</w:t>
      </w:r>
      <w:proofErr w:type="spellEnd"/>
      <w:r>
        <w:rPr>
          <w:rFonts w:ascii="Times New Roman" w:eastAsia="Times New Roman" w:hAnsi="Times New Roman" w:cs="Times New Roman"/>
          <w:sz w:val="24"/>
        </w:rPr>
        <w:t>, M. M., &amp; Al-</w:t>
      </w:r>
      <w:proofErr w:type="spellStart"/>
      <w:r>
        <w:rPr>
          <w:rFonts w:ascii="Times New Roman" w:eastAsia="Times New Roman" w:hAnsi="Times New Roman" w:cs="Times New Roman"/>
          <w:sz w:val="24"/>
        </w:rPr>
        <w:t>Tarawneh</w:t>
      </w:r>
      <w:proofErr w:type="spellEnd"/>
      <w:r>
        <w:rPr>
          <w:rFonts w:ascii="Times New Roman" w:eastAsia="Times New Roman" w:hAnsi="Times New Roman" w:cs="Times New Roman"/>
          <w:sz w:val="24"/>
        </w:rPr>
        <w:t>, H. A. (2016). The relationship between monetary policy and financial stability in Jordan. Interna</w:t>
      </w:r>
      <w:r>
        <w:rPr>
          <w:rFonts w:ascii="Times New Roman" w:eastAsia="Times New Roman" w:hAnsi="Times New Roman" w:cs="Times New Roman"/>
          <w:sz w:val="24"/>
        </w:rPr>
        <w:t>tional Journal of Economics, Commerce and Management, 4(5), 248-261.</w:t>
      </w: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Makochekanwa</w:t>
      </w:r>
      <w:proofErr w:type="spellEnd"/>
      <w:r>
        <w:rPr>
          <w:rFonts w:ascii="Times New Roman" w:eastAsia="Times New Roman" w:hAnsi="Times New Roman" w:cs="Times New Roman"/>
          <w:sz w:val="24"/>
        </w:rPr>
        <w:t>, A. (2007). Hyperinflation and the black market for foreign exchange in Zimbabwe. Journal of African Economies, 16(2), 269-291.</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Serge </w:t>
      </w:r>
      <w:proofErr w:type="spellStart"/>
      <w:r>
        <w:rPr>
          <w:rFonts w:ascii="Times New Roman" w:eastAsia="Times New Roman" w:hAnsi="Times New Roman" w:cs="Times New Roman"/>
          <w:sz w:val="24"/>
        </w:rPr>
        <w:t>Jeanneau</w:t>
      </w:r>
      <w:proofErr w:type="spellEnd"/>
      <w:r>
        <w:rPr>
          <w:rFonts w:ascii="Times New Roman" w:eastAsia="Times New Roman" w:hAnsi="Times New Roman" w:cs="Times New Roman"/>
          <w:sz w:val="24"/>
        </w:rPr>
        <w:t>. (2009). Challenges to financia</w:t>
      </w:r>
      <w:r>
        <w:rPr>
          <w:rFonts w:ascii="Times New Roman" w:eastAsia="Times New Roman" w:hAnsi="Times New Roman" w:cs="Times New Roman"/>
          <w:sz w:val="24"/>
        </w:rPr>
        <w:t xml:space="preserve">l stability arrangements in Sub-Saharan Africa. BIS Papers, No. 48. Retrieved from </w:t>
      </w:r>
      <w:hyperlink r:id="rId25">
        <w:r>
          <w:rPr>
            <w:rFonts w:ascii="Times New Roman" w:eastAsia="Times New Roman" w:hAnsi="Times New Roman" w:cs="Times New Roman"/>
            <w:color w:val="0000FF"/>
            <w:sz w:val="24"/>
            <w:u w:val="single"/>
          </w:rPr>
          <w:t>https://www.bis.org/publ/bppdf/bispap48.pdf</w:t>
        </w:r>
      </w:hyperlink>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Chhipungu</w:t>
      </w:r>
      <w:proofErr w:type="spellEnd"/>
      <w:r>
        <w:rPr>
          <w:rFonts w:ascii="Times New Roman" w:eastAsia="Times New Roman" w:hAnsi="Times New Roman" w:cs="Times New Roman"/>
          <w:sz w:val="24"/>
        </w:rPr>
        <w:t>, G. M. (2020). Effectiveness of monetary policy in sub-S</w:t>
      </w:r>
      <w:r>
        <w:rPr>
          <w:rFonts w:ascii="Times New Roman" w:eastAsia="Times New Roman" w:hAnsi="Times New Roman" w:cs="Times New Roman"/>
          <w:sz w:val="24"/>
        </w:rPr>
        <w:t xml:space="preserve">aharan Africa: An empirical analysis. African Development Review, 32(1), 1-20. </w:t>
      </w:r>
      <w:proofErr w:type="spellStart"/>
      <w:proofErr w:type="gramStart"/>
      <w:r>
        <w:rPr>
          <w:rFonts w:ascii="Times New Roman" w:eastAsia="Times New Roman" w:hAnsi="Times New Roman" w:cs="Times New Roman"/>
          <w:sz w:val="24"/>
        </w:rPr>
        <w:t>doi</w:t>
      </w:r>
      <w:proofErr w:type="spellEnd"/>
      <w:proofErr w:type="gramEnd"/>
      <w:r>
        <w:rPr>
          <w:rFonts w:ascii="Times New Roman" w:eastAsia="Times New Roman" w:hAnsi="Times New Roman" w:cs="Times New Roman"/>
          <w:sz w:val="24"/>
        </w:rPr>
        <w:t>: 10.1111/1467-8268.12390</w:t>
      </w: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Makochekanwa</w:t>
      </w:r>
      <w:proofErr w:type="spellEnd"/>
      <w:r>
        <w:rPr>
          <w:rFonts w:ascii="Times New Roman" w:eastAsia="Times New Roman" w:hAnsi="Times New Roman" w:cs="Times New Roman"/>
          <w:sz w:val="24"/>
        </w:rPr>
        <w:t xml:space="preserve">, A. (2007). Hyperinflation and exchange rate dynamics in Zimbabwe. Journal of African Economies, 16(1), 117-140. </w:t>
      </w:r>
      <w:proofErr w:type="spellStart"/>
      <w:proofErr w:type="gramStart"/>
      <w:r>
        <w:rPr>
          <w:rFonts w:ascii="Times New Roman" w:eastAsia="Times New Roman" w:hAnsi="Times New Roman" w:cs="Times New Roman"/>
          <w:sz w:val="24"/>
        </w:rPr>
        <w:t>doi</w:t>
      </w:r>
      <w:proofErr w:type="spellEnd"/>
      <w:proofErr w:type="gramEnd"/>
      <w:r>
        <w:rPr>
          <w:rFonts w:ascii="Times New Roman" w:eastAsia="Times New Roman" w:hAnsi="Times New Roman" w:cs="Times New Roman"/>
          <w:sz w:val="24"/>
        </w:rPr>
        <w:t>: 10.1093/</w:t>
      </w:r>
      <w:proofErr w:type="spellStart"/>
      <w:r>
        <w:rPr>
          <w:rFonts w:ascii="Times New Roman" w:eastAsia="Times New Roman" w:hAnsi="Times New Roman" w:cs="Times New Roman"/>
          <w:sz w:val="24"/>
        </w:rPr>
        <w:t>jae</w:t>
      </w:r>
      <w:proofErr w:type="spellEnd"/>
      <w:r>
        <w:rPr>
          <w:rFonts w:ascii="Times New Roman" w:eastAsia="Times New Roman" w:hAnsi="Times New Roman" w:cs="Times New Roman"/>
          <w:sz w:val="24"/>
        </w:rPr>
        <w:t>/ejk00</w:t>
      </w:r>
      <w:r>
        <w:rPr>
          <w:rFonts w:ascii="Times New Roman" w:eastAsia="Times New Roman" w:hAnsi="Times New Roman" w:cs="Times New Roman"/>
          <w:sz w:val="24"/>
        </w:rPr>
        <w:t>8</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The Financial Soundness </w:t>
      </w:r>
      <w:proofErr w:type="gramStart"/>
      <w:r>
        <w:rPr>
          <w:rFonts w:ascii="Times New Roman" w:eastAsia="Times New Roman" w:hAnsi="Times New Roman" w:cs="Times New Roman"/>
          <w:sz w:val="24"/>
        </w:rPr>
        <w:t>Indicators(</w:t>
      </w:r>
      <w:proofErr w:type="gramEnd"/>
      <w:r>
        <w:rPr>
          <w:rFonts w:ascii="Times New Roman" w:eastAsia="Times New Roman" w:hAnsi="Times New Roman" w:cs="Times New Roman"/>
          <w:sz w:val="24"/>
        </w:rPr>
        <w:t>IMF2006).</w:t>
      </w:r>
    </w:p>
    <w:p w:rsidR="00DF0840" w:rsidRDefault="00DF0840">
      <w:pPr>
        <w:spacing w:after="0" w:line="360" w:lineRule="auto"/>
        <w:jc w:val="both"/>
        <w:rPr>
          <w:rFonts w:ascii="Times New Roman" w:eastAsia="Times New Roman" w:hAnsi="Times New Roman" w:cs="Times New Roman"/>
          <w:b/>
          <w:sz w:val="21"/>
          <w:u w:val="single"/>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Wooldridge, J. M. (2010). Econometric analysis of cross section and panel data. MIT press.</w:t>
      </w: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Simatele</w:t>
      </w:r>
      <w:proofErr w:type="spellEnd"/>
      <w:r>
        <w:rPr>
          <w:rFonts w:ascii="Times New Roman" w:eastAsia="Times New Roman" w:hAnsi="Times New Roman" w:cs="Times New Roman"/>
          <w:sz w:val="24"/>
        </w:rPr>
        <w:t xml:space="preserve">, M., &amp; </w:t>
      </w:r>
      <w:proofErr w:type="spellStart"/>
      <w:r>
        <w:rPr>
          <w:rFonts w:ascii="Times New Roman" w:eastAsia="Times New Roman" w:hAnsi="Times New Roman" w:cs="Times New Roman"/>
          <w:sz w:val="24"/>
        </w:rPr>
        <w:t>Sjöholm</w:t>
      </w:r>
      <w:proofErr w:type="spellEnd"/>
      <w:r>
        <w:rPr>
          <w:rFonts w:ascii="Times New Roman" w:eastAsia="Times New Roman" w:hAnsi="Times New Roman" w:cs="Times New Roman"/>
          <w:sz w:val="24"/>
        </w:rPr>
        <w:t>, F. (2020). Political stability and financial sector stability in Sub-Saharan Africa. The Wor</w:t>
      </w:r>
      <w:r>
        <w:rPr>
          <w:rFonts w:ascii="Times New Roman" w:eastAsia="Times New Roman" w:hAnsi="Times New Roman" w:cs="Times New Roman"/>
          <w:sz w:val="24"/>
        </w:rPr>
        <w:t>ld Economy, 43(4), 1028-1059.</w:t>
      </w:r>
    </w:p>
    <w:p w:rsidR="00DF0840" w:rsidRDefault="00DF0840">
      <w:pPr>
        <w:spacing w:after="0" w:line="360" w:lineRule="auto"/>
        <w:jc w:val="both"/>
        <w:rPr>
          <w:rFonts w:ascii="Times New Roman" w:eastAsia="Times New Roman" w:hAnsi="Times New Roman" w:cs="Times New Roman"/>
          <w:b/>
          <w:sz w:val="21"/>
          <w:u w:val="single"/>
        </w:rPr>
      </w:pPr>
    </w:p>
    <w:p w:rsidR="00DF0840" w:rsidRDefault="00B3023B">
      <w:pPr>
        <w:spacing w:after="0" w:line="360" w:lineRule="auto"/>
        <w:jc w:val="both"/>
        <w:rPr>
          <w:rFonts w:ascii="Times New Roman" w:eastAsia="Times New Roman" w:hAnsi="Times New Roman" w:cs="Times New Roman"/>
          <w:b/>
          <w:sz w:val="21"/>
          <w:u w:val="single"/>
        </w:rPr>
      </w:pPr>
      <w:r>
        <w:rPr>
          <w:rFonts w:ascii="Times New Roman" w:eastAsia="Times New Roman" w:hAnsi="Times New Roman" w:cs="Times New Roman"/>
          <w:b/>
          <w:sz w:val="21"/>
          <w:u w:val="single"/>
        </w:rPr>
        <w:t xml:space="preserve">  </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Hsiao, C., Li, Q., &amp; Racine, J. S. (1998). Non-parametric estimation of conditional density functions and their derivatives with mixed categorical and continuous data. Journal of Econometric s, 84(2), 299-323.</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Hausman</w:t>
      </w:r>
      <w:proofErr w:type="spellEnd"/>
      <w:r>
        <w:rPr>
          <w:rFonts w:ascii="Times New Roman" w:eastAsia="Times New Roman" w:hAnsi="Times New Roman" w:cs="Times New Roman"/>
          <w:sz w:val="24"/>
        </w:rPr>
        <w:t xml:space="preserve">, J. A., &amp; Wise, D. A. (1977). Social experimentation, truncated distributions, and efficient estimation. </w:t>
      </w:r>
      <w:proofErr w:type="spellStart"/>
      <w:r>
        <w:rPr>
          <w:rFonts w:ascii="Times New Roman" w:eastAsia="Times New Roman" w:hAnsi="Times New Roman" w:cs="Times New Roman"/>
          <w:sz w:val="24"/>
        </w:rPr>
        <w:t>Econometrica</w:t>
      </w:r>
      <w:proofErr w:type="spellEnd"/>
      <w:r>
        <w:rPr>
          <w:rFonts w:ascii="Times New Roman" w:eastAsia="Times New Roman" w:hAnsi="Times New Roman" w:cs="Times New Roman"/>
          <w:sz w:val="24"/>
        </w:rPr>
        <w:t>: Journal of the Econometric Society, 45(4), 919-938.</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Please ensure that the formatting and details of the references conform to </w:t>
      </w:r>
      <w:r>
        <w:rPr>
          <w:rFonts w:ascii="Times New Roman" w:eastAsia="Times New Roman" w:hAnsi="Times New Roman" w:cs="Times New Roman"/>
          <w:sz w:val="24"/>
        </w:rPr>
        <w:t>APA style guidelines.</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 apologize for the confusion. Here are the references for the paragraphs:</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For the general discussion of panel data analysis: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Wooldridge, J. M. (2010). Econometric analysis of cross section and panel data. MIT press.</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For the refere</w:t>
      </w:r>
      <w:r>
        <w:rPr>
          <w:rFonts w:ascii="Times New Roman" w:eastAsia="Times New Roman" w:hAnsi="Times New Roman" w:cs="Times New Roman"/>
          <w:sz w:val="24"/>
        </w:rPr>
        <w:t>nce to the fixed effects model in panel data analysis: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Greene, W. H. (2012). Econometric analysis. Pearson Education.</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For the reference to addressing </w:t>
      </w:r>
      <w:proofErr w:type="spellStart"/>
      <w:r>
        <w:rPr>
          <w:rFonts w:ascii="Times New Roman" w:eastAsia="Times New Roman" w:hAnsi="Times New Roman" w:cs="Times New Roman"/>
          <w:sz w:val="24"/>
        </w:rPr>
        <w:t>heteroskedasticity</w:t>
      </w:r>
      <w:proofErr w:type="spellEnd"/>
      <w:r>
        <w:rPr>
          <w:rFonts w:ascii="Times New Roman" w:eastAsia="Times New Roman" w:hAnsi="Times New Roman" w:cs="Times New Roman"/>
          <w:sz w:val="24"/>
        </w:rPr>
        <w:t xml:space="preserve"> in panel data using </w:t>
      </w:r>
      <w:proofErr w:type="gramStart"/>
      <w:r>
        <w:rPr>
          <w:rFonts w:ascii="Times New Roman" w:eastAsia="Times New Roman" w:hAnsi="Times New Roman" w:cs="Times New Roman"/>
          <w:sz w:val="24"/>
        </w:rPr>
        <w:t>Generalized</w:t>
      </w:r>
      <w:proofErr w:type="gramEnd"/>
      <w:r>
        <w:rPr>
          <w:rFonts w:ascii="Times New Roman" w:eastAsia="Times New Roman" w:hAnsi="Times New Roman" w:cs="Times New Roman"/>
          <w:sz w:val="24"/>
        </w:rPr>
        <w:t xml:space="preserve"> Least Squares (GLS):</w:t>
      </w: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Hsiao, C. (2014). Analysis of panel data. Cambridge University Press.</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Friedman, M., &amp; Schwartz, A. J. (1963). A monetary history of the United States, 1867-1960. Princeton University Press.</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proofErr w:type="spellStart"/>
      <w:r>
        <w:rPr>
          <w:rFonts w:ascii="Times New Roman" w:eastAsia="Times New Roman" w:hAnsi="Times New Roman" w:cs="Times New Roman"/>
          <w:sz w:val="24"/>
        </w:rPr>
        <w:t>Boivin</w:t>
      </w:r>
      <w:proofErr w:type="spellEnd"/>
      <w:r>
        <w:rPr>
          <w:rFonts w:ascii="Times New Roman" w:eastAsia="Times New Roman" w:hAnsi="Times New Roman" w:cs="Times New Roman"/>
          <w:sz w:val="24"/>
        </w:rPr>
        <w:t xml:space="preserve">, J., Kiley, M. T., &amp; </w:t>
      </w:r>
      <w:proofErr w:type="spellStart"/>
      <w:r>
        <w:rPr>
          <w:rFonts w:ascii="Times New Roman" w:eastAsia="Times New Roman" w:hAnsi="Times New Roman" w:cs="Times New Roman"/>
          <w:sz w:val="24"/>
        </w:rPr>
        <w:t>Mishkin</w:t>
      </w:r>
      <w:proofErr w:type="spellEnd"/>
      <w:r>
        <w:rPr>
          <w:rFonts w:ascii="Times New Roman" w:eastAsia="Times New Roman" w:hAnsi="Times New Roman" w:cs="Times New Roman"/>
          <w:sz w:val="24"/>
        </w:rPr>
        <w:t>, F. S. (2011). How has the</w:t>
      </w:r>
      <w:r>
        <w:rPr>
          <w:rFonts w:ascii="Times New Roman" w:eastAsia="Times New Roman" w:hAnsi="Times New Roman" w:cs="Times New Roman"/>
          <w:sz w:val="24"/>
        </w:rPr>
        <w:t xml:space="preserve"> monetary transmission mechanism evolved over time? In Benjamin M. Friedman &amp; Michael Woodford (Eds.), Handbook of Monetary Economics (Vol. 3, pp. 369-422). Elsevier.</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Friedman, M., &amp; Schwartz, A. J. (1963)" and "</w:t>
      </w:r>
      <w:proofErr w:type="spellStart"/>
      <w:r>
        <w:rPr>
          <w:rFonts w:ascii="Times New Roman" w:eastAsia="Times New Roman" w:hAnsi="Times New Roman" w:cs="Times New Roman"/>
          <w:sz w:val="24"/>
        </w:rPr>
        <w:t>Boivin</w:t>
      </w:r>
      <w:proofErr w:type="spellEnd"/>
      <w:r>
        <w:rPr>
          <w:rFonts w:ascii="Times New Roman" w:eastAsia="Times New Roman" w:hAnsi="Times New Roman" w:cs="Times New Roman"/>
          <w:sz w:val="24"/>
        </w:rPr>
        <w:t xml:space="preserve">, J., Kiley, M. T., &amp; </w:t>
      </w:r>
      <w:proofErr w:type="spellStart"/>
      <w:r>
        <w:rPr>
          <w:rFonts w:ascii="Times New Roman" w:eastAsia="Times New Roman" w:hAnsi="Times New Roman" w:cs="Times New Roman"/>
          <w:sz w:val="24"/>
        </w:rPr>
        <w:t>Mishkin</w:t>
      </w:r>
      <w:proofErr w:type="spellEnd"/>
      <w:r>
        <w:rPr>
          <w:rFonts w:ascii="Times New Roman" w:eastAsia="Times New Roman" w:hAnsi="Times New Roman" w:cs="Times New Roman"/>
          <w:sz w:val="24"/>
        </w:rPr>
        <w:t>, F. S.</w:t>
      </w:r>
      <w:r>
        <w:rPr>
          <w:rFonts w:ascii="Times New Roman" w:eastAsia="Times New Roman" w:hAnsi="Times New Roman" w:cs="Times New Roman"/>
          <w:sz w:val="24"/>
        </w:rPr>
        <w:t xml:space="preserve"> (2011)  </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Nkusu</w:t>
      </w:r>
      <w:proofErr w:type="spellEnd"/>
      <w:r>
        <w:rPr>
          <w:rFonts w:ascii="Times New Roman" w:eastAsia="Times New Roman" w:hAnsi="Times New Roman" w:cs="Times New Roman"/>
          <w:sz w:val="24"/>
        </w:rPr>
        <w:t xml:space="preserve">, M. (2011). Nonperforming loans and </w:t>
      </w:r>
      <w:proofErr w:type="spellStart"/>
      <w:r>
        <w:rPr>
          <w:rFonts w:ascii="Times New Roman" w:eastAsia="Times New Roman" w:hAnsi="Times New Roman" w:cs="Times New Roman"/>
          <w:sz w:val="24"/>
        </w:rPr>
        <w:t>macrofinancial</w:t>
      </w:r>
      <w:proofErr w:type="spellEnd"/>
      <w:r>
        <w:rPr>
          <w:rFonts w:ascii="Times New Roman" w:eastAsia="Times New Roman" w:hAnsi="Times New Roman" w:cs="Times New Roman"/>
          <w:sz w:val="24"/>
        </w:rPr>
        <w:t xml:space="preserve"> vulnerabilities in advanced economies. IMF Working Paper, WP/11/161.</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Faure, S. (2014). Interest rates. In T. C. Leonard (Ed.), Encyclopedia of the developing world (Vol. 2, pp. 1029-1030</w:t>
      </w:r>
      <w:r>
        <w:rPr>
          <w:rFonts w:ascii="Times New Roman" w:eastAsia="Times New Roman" w:hAnsi="Times New Roman" w:cs="Times New Roman"/>
          <w:sz w:val="24"/>
        </w:rPr>
        <w:t>). Routledge.</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Rothbard</w:t>
      </w:r>
      <w:proofErr w:type="spellEnd"/>
      <w:r>
        <w:rPr>
          <w:rFonts w:ascii="Times New Roman" w:eastAsia="Times New Roman" w:hAnsi="Times New Roman" w:cs="Times New Roman"/>
          <w:sz w:val="24"/>
        </w:rPr>
        <w:t>, M. N. (2008). Inflation. In The Concise Encyclopedia of Economics. Library of Economics and Liberty.</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Boyd, J. H., Levine, R., &amp; Smith, B. D. (1996). Inflation and financial market performance. Journal of Monetary Economics, 38(2</w:t>
      </w:r>
      <w:r>
        <w:rPr>
          <w:rFonts w:ascii="Times New Roman" w:eastAsia="Times New Roman" w:hAnsi="Times New Roman" w:cs="Times New Roman"/>
          <w:sz w:val="24"/>
        </w:rPr>
        <w:t>), 183-210.</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Boyd, J. H., Levine, R., &amp; Smith, B. D. (2001). The impact of inflation on financial sector performance. Journal of Monetary Economics, 47(2), 221-248.</w:t>
      </w:r>
    </w:p>
    <w:p w:rsidR="00DF0840" w:rsidRDefault="00DF0840">
      <w:pPr>
        <w:spacing w:after="0" w:line="360" w:lineRule="auto"/>
        <w:jc w:val="both"/>
        <w:rPr>
          <w:rFonts w:ascii="Times New Roman" w:eastAsia="Times New Roman" w:hAnsi="Times New Roman" w:cs="Times New Roman"/>
          <w:sz w:val="24"/>
        </w:rPr>
      </w:pPr>
    </w:p>
    <w:p w:rsidR="00DF0840" w:rsidRDefault="00B302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Simatele</w:t>
      </w:r>
      <w:proofErr w:type="spellEnd"/>
      <w:r>
        <w:rPr>
          <w:rFonts w:ascii="Times New Roman" w:eastAsia="Times New Roman" w:hAnsi="Times New Roman" w:cs="Times New Roman"/>
          <w:sz w:val="24"/>
        </w:rPr>
        <w:t>, M., &amp;</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Sjöholm</w:t>
      </w:r>
      <w:proofErr w:type="spellEnd"/>
      <w:r>
        <w:rPr>
          <w:rFonts w:ascii="Times New Roman" w:eastAsia="Times New Roman" w:hAnsi="Times New Roman" w:cs="Times New Roman"/>
          <w:sz w:val="24"/>
        </w:rPr>
        <w:t>, F. (2020). Political stability and financial sector stability in Sub-Saharan Africa. World Development, 127, 104807.</w:t>
      </w:r>
    </w:p>
    <w:p w:rsidR="00DF0840" w:rsidRDefault="00DF0840">
      <w:pPr>
        <w:spacing w:after="0" w:line="360" w:lineRule="auto"/>
        <w:jc w:val="both"/>
        <w:rPr>
          <w:rFonts w:ascii="Times New Roman" w:eastAsia="Times New Roman" w:hAnsi="Times New Roman" w:cs="Times New Roman"/>
          <w:b/>
          <w:sz w:val="21"/>
          <w:u w:val="single"/>
        </w:rPr>
      </w:pPr>
    </w:p>
    <w:p w:rsidR="00DF0840" w:rsidRDefault="00B3023B">
      <w:pPr>
        <w:spacing w:after="0" w:line="360" w:lineRule="auto"/>
        <w:jc w:val="both"/>
        <w:rPr>
          <w:rFonts w:ascii="Times New Roman" w:eastAsia="Times New Roman" w:hAnsi="Times New Roman" w:cs="Times New Roman"/>
          <w:b/>
          <w:sz w:val="21"/>
          <w:u w:val="single"/>
        </w:rPr>
      </w:pPr>
      <w:r>
        <w:rPr>
          <w:rFonts w:ascii="Times New Roman" w:eastAsia="Times New Roman" w:hAnsi="Times New Roman" w:cs="Times New Roman"/>
          <w:b/>
          <w:sz w:val="21"/>
          <w:u w:val="single"/>
        </w:rPr>
        <w:t xml:space="preserve"> </w:t>
      </w: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B3023B">
      <w:pPr>
        <w:keepNext/>
        <w:keepLines/>
        <w:spacing w:before="360"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APPENDICES</w:t>
      </w:r>
    </w:p>
    <w:p w:rsidR="00DF0840" w:rsidRDefault="00DF0840">
      <w:pPr>
        <w:spacing w:after="0" w:line="360" w:lineRule="auto"/>
        <w:jc w:val="both"/>
        <w:rPr>
          <w:rFonts w:ascii="Times New Roman" w:eastAsia="Times New Roman" w:hAnsi="Times New Roman" w:cs="Times New Roman"/>
          <w:b/>
          <w:sz w:val="21"/>
          <w:u w:val="single"/>
        </w:rPr>
      </w:pPr>
    </w:p>
    <w:p w:rsidR="00DF0840" w:rsidRDefault="00B3023B">
      <w:pPr>
        <w:spacing w:after="0" w:line="360" w:lineRule="auto"/>
        <w:jc w:val="both"/>
        <w:rPr>
          <w:rFonts w:ascii="Times New Roman" w:eastAsia="Times New Roman" w:hAnsi="Times New Roman" w:cs="Times New Roman"/>
          <w:b/>
          <w:sz w:val="21"/>
        </w:rPr>
      </w:pPr>
      <w:r>
        <w:rPr>
          <w:rFonts w:ascii="Times New Roman" w:eastAsia="Times New Roman" w:hAnsi="Times New Roman" w:cs="Times New Roman"/>
          <w:b/>
          <w:sz w:val="21"/>
        </w:rPr>
        <w:t>Appendix: Explanatory variables Model Results</w:t>
      </w:r>
    </w:p>
    <w:p w:rsidR="00DF0840" w:rsidRDefault="00DF0840">
      <w:pPr>
        <w:spacing w:after="0" w:line="360" w:lineRule="auto"/>
        <w:jc w:val="both"/>
        <w:rPr>
          <w:rFonts w:ascii="Times New Roman" w:eastAsia="Times New Roman" w:hAnsi="Times New Roman" w:cs="Times New Roman"/>
          <w:b/>
          <w:sz w:val="21"/>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DF0840">
      <w:pPr>
        <w:spacing w:after="0" w:line="360" w:lineRule="auto"/>
        <w:jc w:val="both"/>
        <w:rPr>
          <w:rFonts w:ascii="Times New Roman" w:eastAsia="Times New Roman" w:hAnsi="Times New Roman" w:cs="Times New Roman"/>
          <w:b/>
          <w:sz w:val="21"/>
          <w:u w:val="single"/>
        </w:rPr>
      </w:pPr>
    </w:p>
    <w:p w:rsidR="00DF0840" w:rsidRDefault="00B3023B">
      <w:pPr>
        <w:spacing w:after="0" w:line="360" w:lineRule="auto"/>
        <w:jc w:val="both"/>
        <w:rPr>
          <w:rFonts w:ascii="Calibri" w:eastAsia="Calibri" w:hAnsi="Calibri" w:cs="Calibri"/>
        </w:rPr>
      </w:pPr>
      <w:r>
        <w:object w:dxaOrig="10593" w:dyaOrig="4971">
          <v:rect id="rectole0000000005" o:spid="_x0000_i1030" style="width:529.5pt;height:248.25pt" o:ole="" o:preferrelative="t" stroked="f">
            <v:imagedata r:id="rId26" o:title=""/>
          </v:rect>
          <o:OLEObject Type="Embed" ProgID="StaticMetafile" ShapeID="rectole0000000005" DrawAspect="Content" ObjectID="_1788778275" r:id="rId27"/>
        </w:object>
      </w: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b/>
        </w:rPr>
      </w:pPr>
    </w:p>
    <w:p w:rsidR="00DF0840" w:rsidRDefault="00B3023B">
      <w:pPr>
        <w:spacing w:after="0" w:line="360" w:lineRule="auto"/>
        <w:jc w:val="both"/>
        <w:rPr>
          <w:rFonts w:ascii="Calibri" w:eastAsia="Calibri" w:hAnsi="Calibri" w:cs="Calibri"/>
          <w:b/>
        </w:rPr>
      </w:pPr>
      <w:r>
        <w:rPr>
          <w:rFonts w:ascii="Calibri" w:eastAsia="Calibri" w:hAnsi="Calibri" w:cs="Calibri"/>
          <w:b/>
        </w:rPr>
        <w:t>Appendix 4</w:t>
      </w:r>
      <w:proofErr w:type="gramStart"/>
      <w:r>
        <w:rPr>
          <w:rFonts w:ascii="Calibri" w:eastAsia="Calibri" w:hAnsi="Calibri" w:cs="Calibri"/>
          <w:b/>
        </w:rPr>
        <w:t>:Fixed</w:t>
      </w:r>
      <w:proofErr w:type="gramEnd"/>
      <w:r>
        <w:rPr>
          <w:rFonts w:ascii="Calibri" w:eastAsia="Calibri" w:hAnsi="Calibri" w:cs="Calibri"/>
          <w:b/>
        </w:rPr>
        <w:t xml:space="preserve"> effects model results</w:t>
      </w:r>
    </w:p>
    <w:p w:rsidR="00DF0840" w:rsidRDefault="00DF0840">
      <w:pPr>
        <w:spacing w:after="0" w:line="360" w:lineRule="auto"/>
        <w:jc w:val="both"/>
        <w:rPr>
          <w:rFonts w:ascii="Calibri" w:eastAsia="Calibri" w:hAnsi="Calibri" w:cs="Calibri"/>
        </w:rPr>
      </w:pPr>
    </w:p>
    <w:p w:rsidR="00DF0840" w:rsidRDefault="00B3023B">
      <w:pPr>
        <w:spacing w:after="0" w:line="360" w:lineRule="auto"/>
        <w:jc w:val="both"/>
        <w:rPr>
          <w:rFonts w:ascii="Calibri" w:eastAsia="Calibri" w:hAnsi="Calibri" w:cs="Calibri"/>
        </w:rPr>
      </w:pPr>
      <w:r>
        <w:object w:dxaOrig="8519" w:dyaOrig="7442">
          <v:rect id="rectole0000000006" o:spid="_x0000_i1031" style="width:426pt;height:372pt" o:ole="" o:preferrelative="t" stroked="f">
            <v:imagedata r:id="rId28" o:title=""/>
          </v:rect>
          <o:OLEObject Type="Embed" ProgID="StaticMetafile" ShapeID="rectole0000000006" DrawAspect="Content" ObjectID="_1788778276" r:id="rId29"/>
        </w:object>
      </w: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p w:rsidR="00DF0840" w:rsidRDefault="00B3023B">
      <w:pPr>
        <w:spacing w:after="0" w:line="360" w:lineRule="auto"/>
        <w:jc w:val="both"/>
        <w:rPr>
          <w:rFonts w:ascii="Calibri" w:eastAsia="Calibri" w:hAnsi="Calibri" w:cs="Calibri"/>
          <w:b/>
        </w:rPr>
      </w:pPr>
      <w:r>
        <w:rPr>
          <w:rFonts w:ascii="Calibri" w:eastAsia="Calibri" w:hAnsi="Calibri" w:cs="Calibri"/>
          <w:b/>
        </w:rPr>
        <w:t>Appendix 5</w:t>
      </w:r>
      <w:proofErr w:type="gramStart"/>
      <w:r>
        <w:rPr>
          <w:rFonts w:ascii="Calibri" w:eastAsia="Calibri" w:hAnsi="Calibri" w:cs="Calibri"/>
          <w:b/>
        </w:rPr>
        <w:t>:Random</w:t>
      </w:r>
      <w:proofErr w:type="gramEnd"/>
      <w:r>
        <w:rPr>
          <w:rFonts w:ascii="Calibri" w:eastAsia="Calibri" w:hAnsi="Calibri" w:cs="Calibri"/>
          <w:b/>
        </w:rPr>
        <w:t xml:space="preserve"> effects model results</w:t>
      </w: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p w:rsidR="00DF0840" w:rsidRDefault="00DF0840">
      <w:pPr>
        <w:spacing w:after="0" w:line="360" w:lineRule="auto"/>
        <w:jc w:val="both"/>
        <w:rPr>
          <w:rFonts w:ascii="Calibri" w:eastAsia="Calibri" w:hAnsi="Calibri" w:cs="Calibri"/>
        </w:rPr>
      </w:pPr>
    </w:p>
    <w:p w:rsidR="00DF0840" w:rsidRDefault="00B3023B">
      <w:pPr>
        <w:spacing w:after="0" w:line="360" w:lineRule="auto"/>
        <w:jc w:val="both"/>
        <w:rPr>
          <w:rFonts w:ascii="Calibri" w:eastAsia="Calibri" w:hAnsi="Calibri" w:cs="Calibri"/>
        </w:rPr>
      </w:pPr>
      <w:r>
        <w:rPr>
          <w:rFonts w:ascii="Calibri" w:eastAsia="Calibri" w:hAnsi="Calibri" w:cs="Calibri"/>
        </w:rPr>
        <w:t>Dependent by year</w:t>
      </w:r>
    </w:p>
    <w:p w:rsidR="00DF0840" w:rsidRDefault="00B3023B">
      <w:pPr>
        <w:spacing w:after="0" w:line="360" w:lineRule="auto"/>
        <w:jc w:val="both"/>
        <w:rPr>
          <w:rFonts w:ascii="Calibri" w:eastAsia="Calibri" w:hAnsi="Calibri" w:cs="Calibri"/>
        </w:rPr>
      </w:pPr>
      <w:r>
        <w:object w:dxaOrig="8519" w:dyaOrig="9495">
          <v:rect id="rectole0000000007" o:spid="_x0000_i1032" style="width:426pt;height:474.75pt" o:ole="" o:preferrelative="t" stroked="f">
            <v:imagedata r:id="rId30" o:title=""/>
          </v:rect>
          <o:OLEObject Type="Embed" ProgID="StaticMetafile" ShapeID="rectole0000000007" DrawAspect="Content" ObjectID="_1788778277" r:id="rId31"/>
        </w:object>
      </w:r>
      <w:r>
        <w:rPr>
          <w:rFonts w:ascii="Calibri" w:eastAsia="Calibri" w:hAnsi="Calibri" w:cs="Calibri"/>
        </w:rPr>
        <w:t xml:space="preserve"> </w:t>
      </w:r>
      <w:r>
        <w:object w:dxaOrig="8519" w:dyaOrig="9495">
          <v:rect id="rectole0000000008" o:spid="_x0000_i1033" style="width:426pt;height:474.75pt" o:ole="" o:preferrelative="t" stroked="f">
            <v:imagedata r:id="rId30" o:title=""/>
          </v:rect>
          <o:OLEObject Type="Embed" ProgID="StaticMetafile" ShapeID="rectole0000000008" DrawAspect="Content" ObjectID="_1788778278" r:id="rId32"/>
        </w:object>
      </w:r>
      <w:r>
        <w:rPr>
          <w:rFonts w:ascii="Calibri" w:eastAsia="Calibri" w:hAnsi="Calibri" w:cs="Calibri"/>
        </w:rPr>
        <w:t xml:space="preserve"> </w:t>
      </w:r>
      <w:r>
        <w:object w:dxaOrig="8519" w:dyaOrig="9495">
          <v:rect id="rectole0000000009" o:spid="_x0000_i1034" style="width:426pt;height:474.75pt" o:ole="" o:preferrelative="t" stroked="f">
            <v:imagedata r:id="rId30" o:title=""/>
          </v:rect>
          <o:OLEObject Type="Embed" ProgID="StaticMetafile" ShapeID="rectole0000000009" DrawAspect="Content" ObjectID="_1788778279" r:id="rId33"/>
        </w:object>
      </w:r>
      <w:r>
        <w:rPr>
          <w:rFonts w:ascii="Calibri" w:eastAsia="Calibri" w:hAnsi="Calibri" w:cs="Calibri"/>
        </w:rPr>
        <w:t xml:space="preserve"> </w:t>
      </w:r>
      <w:r>
        <w:object w:dxaOrig="8519" w:dyaOrig="9495">
          <v:rect id="rectole0000000010" o:spid="_x0000_i1035" style="width:426pt;height:474.75pt" o:ole="" o:preferrelative="t" stroked="f">
            <v:imagedata r:id="rId30" o:title=""/>
          </v:rect>
          <o:OLEObject Type="Embed" ProgID="StaticMetafile" ShapeID="rectole0000000010" DrawAspect="Content" ObjectID="_1788778280" r:id="rId34"/>
        </w:object>
      </w:r>
      <w:r>
        <w:rPr>
          <w:rFonts w:ascii="Calibri" w:eastAsia="Calibri" w:hAnsi="Calibri" w:cs="Calibri"/>
        </w:rPr>
        <w:t xml:space="preserve"> </w:t>
      </w:r>
    </w:p>
    <w:p w:rsidR="00DF0840" w:rsidRDefault="00DF0840">
      <w:pPr>
        <w:spacing w:after="0" w:line="360" w:lineRule="auto"/>
        <w:jc w:val="both"/>
        <w:rPr>
          <w:rFonts w:ascii="Calibri" w:eastAsia="Calibri" w:hAnsi="Calibri" w:cs="Calibri"/>
          <w:b/>
        </w:rPr>
      </w:pPr>
    </w:p>
    <w:p w:rsidR="00DF0840" w:rsidRDefault="00DF0840">
      <w:pPr>
        <w:spacing w:after="0" w:line="360" w:lineRule="auto"/>
        <w:jc w:val="both"/>
        <w:rPr>
          <w:rFonts w:ascii="Calibri" w:eastAsia="Calibri" w:hAnsi="Calibri" w:cs="Calibri"/>
          <w:b/>
        </w:rPr>
      </w:pPr>
    </w:p>
    <w:p w:rsidR="00DF0840" w:rsidRDefault="00DF0840">
      <w:pPr>
        <w:spacing w:after="0" w:line="360" w:lineRule="auto"/>
        <w:jc w:val="both"/>
        <w:rPr>
          <w:rFonts w:ascii="Calibri" w:eastAsia="Calibri" w:hAnsi="Calibri" w:cs="Calibri"/>
          <w:b/>
        </w:rPr>
      </w:pPr>
    </w:p>
    <w:p w:rsidR="00DF0840" w:rsidRDefault="00DF0840">
      <w:pPr>
        <w:spacing w:after="0" w:line="360" w:lineRule="auto"/>
        <w:jc w:val="both"/>
        <w:rPr>
          <w:rFonts w:ascii="Calibri" w:eastAsia="Calibri" w:hAnsi="Calibri" w:cs="Calibri"/>
          <w:b/>
        </w:rPr>
      </w:pPr>
    </w:p>
    <w:p w:rsidR="00DF0840" w:rsidRDefault="00DF0840">
      <w:pPr>
        <w:spacing w:after="0" w:line="360" w:lineRule="auto"/>
        <w:jc w:val="both"/>
        <w:rPr>
          <w:rFonts w:ascii="Calibri" w:eastAsia="Calibri" w:hAnsi="Calibri" w:cs="Calibri"/>
          <w:b/>
        </w:rPr>
      </w:pPr>
    </w:p>
    <w:p w:rsidR="00DF0840" w:rsidRDefault="00DF0840">
      <w:pPr>
        <w:spacing w:after="0" w:line="360" w:lineRule="auto"/>
        <w:jc w:val="both"/>
        <w:rPr>
          <w:rFonts w:ascii="Calibri" w:eastAsia="Calibri" w:hAnsi="Calibri" w:cs="Calibri"/>
          <w:b/>
        </w:rPr>
      </w:pPr>
    </w:p>
    <w:p w:rsidR="00DF0840" w:rsidRDefault="00DF0840">
      <w:pPr>
        <w:spacing w:after="0" w:line="360" w:lineRule="auto"/>
        <w:jc w:val="both"/>
        <w:rPr>
          <w:rFonts w:ascii="Calibri" w:eastAsia="Calibri" w:hAnsi="Calibri" w:cs="Calibri"/>
          <w:b/>
        </w:rPr>
      </w:pPr>
    </w:p>
    <w:p w:rsidR="00DF0840" w:rsidRDefault="00DF0840">
      <w:pPr>
        <w:spacing w:after="0" w:line="360" w:lineRule="auto"/>
        <w:jc w:val="both"/>
        <w:rPr>
          <w:rFonts w:ascii="Calibri" w:eastAsia="Calibri" w:hAnsi="Calibri" w:cs="Calibri"/>
          <w:b/>
        </w:rPr>
      </w:pPr>
    </w:p>
    <w:p w:rsidR="00DF0840" w:rsidRDefault="00DF0840">
      <w:pPr>
        <w:spacing w:after="0" w:line="360" w:lineRule="auto"/>
        <w:jc w:val="both"/>
        <w:rPr>
          <w:rFonts w:ascii="Calibri" w:eastAsia="Calibri" w:hAnsi="Calibri" w:cs="Calibri"/>
          <w:b/>
        </w:rPr>
      </w:pPr>
    </w:p>
    <w:p w:rsidR="00DF0840" w:rsidRDefault="00DF0840">
      <w:pPr>
        <w:spacing w:after="0" w:line="360" w:lineRule="auto"/>
        <w:jc w:val="both"/>
        <w:rPr>
          <w:rFonts w:ascii="Calibri" w:eastAsia="Calibri" w:hAnsi="Calibri" w:cs="Calibri"/>
          <w:b/>
        </w:rPr>
      </w:pPr>
    </w:p>
    <w:p w:rsidR="00DF0840" w:rsidRDefault="00DF0840">
      <w:pPr>
        <w:spacing w:after="0" w:line="360" w:lineRule="auto"/>
        <w:jc w:val="both"/>
        <w:rPr>
          <w:rFonts w:ascii="Calibri" w:eastAsia="Calibri" w:hAnsi="Calibri" w:cs="Calibri"/>
          <w:b/>
        </w:rPr>
      </w:pPr>
    </w:p>
    <w:p w:rsidR="00DF0840" w:rsidRDefault="00DF0840">
      <w:pPr>
        <w:spacing w:after="0" w:line="360" w:lineRule="auto"/>
        <w:jc w:val="both"/>
        <w:rPr>
          <w:rFonts w:ascii="Calibri" w:eastAsia="Calibri" w:hAnsi="Calibri" w:cs="Calibri"/>
          <w:b/>
        </w:rPr>
      </w:pPr>
    </w:p>
    <w:p w:rsidR="00DF0840" w:rsidRDefault="00DF0840">
      <w:pPr>
        <w:spacing w:after="0" w:line="360" w:lineRule="auto"/>
        <w:jc w:val="both"/>
        <w:rPr>
          <w:rFonts w:ascii="Calibri" w:eastAsia="Calibri" w:hAnsi="Calibri" w:cs="Calibri"/>
          <w:b/>
        </w:rPr>
      </w:pPr>
    </w:p>
    <w:p w:rsidR="00DF0840" w:rsidRDefault="00DF0840">
      <w:pPr>
        <w:spacing w:after="0" w:line="360" w:lineRule="auto"/>
        <w:jc w:val="both"/>
        <w:rPr>
          <w:rFonts w:ascii="Calibri" w:eastAsia="Calibri" w:hAnsi="Calibri" w:cs="Calibri"/>
          <w:b/>
        </w:rPr>
      </w:pPr>
    </w:p>
    <w:p w:rsidR="00DF0840" w:rsidRDefault="00DF0840">
      <w:pPr>
        <w:spacing w:after="0" w:line="360" w:lineRule="auto"/>
        <w:jc w:val="both"/>
        <w:rPr>
          <w:rFonts w:ascii="Calibri" w:eastAsia="Calibri" w:hAnsi="Calibri" w:cs="Calibri"/>
          <w:b/>
        </w:rPr>
      </w:pPr>
    </w:p>
    <w:p w:rsidR="00DF0840" w:rsidRDefault="00DF0840">
      <w:pPr>
        <w:spacing w:after="0" w:line="360" w:lineRule="auto"/>
        <w:jc w:val="both"/>
        <w:rPr>
          <w:rFonts w:ascii="Calibri" w:eastAsia="Calibri" w:hAnsi="Calibri" w:cs="Calibri"/>
          <w:b/>
        </w:rPr>
      </w:pPr>
    </w:p>
    <w:p w:rsidR="00DF0840" w:rsidRDefault="00B3023B">
      <w:pPr>
        <w:spacing w:after="0" w:line="360" w:lineRule="auto"/>
        <w:jc w:val="both"/>
        <w:rPr>
          <w:rFonts w:ascii="Calibri" w:eastAsia="Calibri" w:hAnsi="Calibri" w:cs="Calibri"/>
          <w:b/>
        </w:rPr>
      </w:pPr>
      <w:r>
        <w:object w:dxaOrig="7668" w:dyaOrig="9612">
          <v:rect id="rectole0000000011" o:spid="_x0000_i1036" style="width:383.25pt;height:480.75pt" o:ole="" o:preferrelative="t" stroked="f">
            <v:imagedata r:id="rId35" o:title=""/>
          </v:rect>
          <o:OLEObject Type="Embed" ProgID="StaticMetafile" ShapeID="rectole0000000011" DrawAspect="Content" ObjectID="_1788778281" r:id="rId36"/>
        </w:object>
      </w:r>
    </w:p>
    <w:p w:rsidR="00DF0840" w:rsidRDefault="00DF0840">
      <w:pPr>
        <w:spacing w:after="0" w:line="360" w:lineRule="auto"/>
        <w:jc w:val="both"/>
        <w:rPr>
          <w:rFonts w:ascii="Calibri" w:eastAsia="Calibri" w:hAnsi="Calibri" w:cs="Calibri"/>
          <w:b/>
        </w:rPr>
      </w:pPr>
    </w:p>
    <w:p w:rsidR="00DF0840" w:rsidRDefault="00DF0840">
      <w:pPr>
        <w:spacing w:after="0" w:line="360" w:lineRule="auto"/>
        <w:jc w:val="both"/>
        <w:rPr>
          <w:rFonts w:ascii="Calibri" w:eastAsia="Calibri" w:hAnsi="Calibri" w:cs="Calibri"/>
          <w:b/>
        </w:rPr>
      </w:pPr>
    </w:p>
    <w:p w:rsidR="00DF0840" w:rsidRDefault="00DF0840">
      <w:pPr>
        <w:spacing w:after="0" w:line="360" w:lineRule="auto"/>
        <w:jc w:val="both"/>
        <w:rPr>
          <w:rFonts w:ascii="Calibri" w:eastAsia="Calibri" w:hAnsi="Calibri" w:cs="Calibri"/>
          <w:b/>
        </w:rPr>
      </w:pPr>
    </w:p>
    <w:p w:rsidR="00DF0840" w:rsidRDefault="00DF0840">
      <w:pPr>
        <w:spacing w:after="0" w:line="360" w:lineRule="auto"/>
        <w:jc w:val="both"/>
        <w:rPr>
          <w:rFonts w:ascii="Calibri" w:eastAsia="Calibri" w:hAnsi="Calibri" w:cs="Calibri"/>
          <w:b/>
        </w:rPr>
      </w:pPr>
    </w:p>
    <w:p w:rsidR="00DF0840" w:rsidRDefault="00DF0840">
      <w:pPr>
        <w:spacing w:after="0" w:line="360" w:lineRule="auto"/>
        <w:jc w:val="both"/>
        <w:rPr>
          <w:rFonts w:ascii="Calibri" w:eastAsia="Calibri" w:hAnsi="Calibri" w:cs="Calibri"/>
          <w:b/>
        </w:rPr>
      </w:pPr>
    </w:p>
    <w:p w:rsidR="00DF0840" w:rsidRDefault="00DF0840">
      <w:pPr>
        <w:spacing w:after="0" w:line="360" w:lineRule="auto"/>
        <w:jc w:val="both"/>
        <w:rPr>
          <w:rFonts w:ascii="Calibri" w:eastAsia="Calibri" w:hAnsi="Calibri" w:cs="Calibri"/>
          <w:b/>
        </w:rPr>
      </w:pPr>
    </w:p>
    <w:p w:rsidR="00DF0840" w:rsidRDefault="00DF0840">
      <w:pPr>
        <w:spacing w:after="0" w:line="360" w:lineRule="auto"/>
        <w:jc w:val="both"/>
        <w:rPr>
          <w:rFonts w:ascii="Calibri" w:eastAsia="Calibri" w:hAnsi="Calibri" w:cs="Calibri"/>
          <w:b/>
        </w:rPr>
      </w:pPr>
    </w:p>
    <w:sectPr w:rsidR="00DF08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145DB"/>
    <w:multiLevelType w:val="multilevel"/>
    <w:tmpl w:val="65722E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5860EB"/>
    <w:multiLevelType w:val="multilevel"/>
    <w:tmpl w:val="D408E6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3A1B13"/>
    <w:multiLevelType w:val="multilevel"/>
    <w:tmpl w:val="ACFE2D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60190C"/>
    <w:multiLevelType w:val="multilevel"/>
    <w:tmpl w:val="2A6AAB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A13343"/>
    <w:multiLevelType w:val="multilevel"/>
    <w:tmpl w:val="90C2EC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8A0E51"/>
    <w:multiLevelType w:val="multilevel"/>
    <w:tmpl w:val="C8469C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6160D1"/>
    <w:multiLevelType w:val="multilevel"/>
    <w:tmpl w:val="09EE4A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6C4F56"/>
    <w:multiLevelType w:val="multilevel"/>
    <w:tmpl w:val="967810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3A4A2B"/>
    <w:multiLevelType w:val="multilevel"/>
    <w:tmpl w:val="180AB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57628D2"/>
    <w:multiLevelType w:val="multilevel"/>
    <w:tmpl w:val="96E0AB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2C24615"/>
    <w:multiLevelType w:val="multilevel"/>
    <w:tmpl w:val="C5025A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D1900DC"/>
    <w:multiLevelType w:val="multilevel"/>
    <w:tmpl w:val="6008AD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4BE40CB"/>
    <w:multiLevelType w:val="multilevel"/>
    <w:tmpl w:val="CD2003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24236D9"/>
    <w:multiLevelType w:val="multilevel"/>
    <w:tmpl w:val="9F4CB8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5175775"/>
    <w:multiLevelType w:val="multilevel"/>
    <w:tmpl w:val="B2F63F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9092718"/>
    <w:multiLevelType w:val="multilevel"/>
    <w:tmpl w:val="F5C679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DDC3F36"/>
    <w:multiLevelType w:val="multilevel"/>
    <w:tmpl w:val="57E8BF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E364204"/>
    <w:multiLevelType w:val="multilevel"/>
    <w:tmpl w:val="9F9A87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9"/>
  </w:num>
  <w:num w:numId="3">
    <w:abstractNumId w:val="6"/>
  </w:num>
  <w:num w:numId="4">
    <w:abstractNumId w:val="10"/>
  </w:num>
  <w:num w:numId="5">
    <w:abstractNumId w:val="14"/>
  </w:num>
  <w:num w:numId="6">
    <w:abstractNumId w:val="15"/>
  </w:num>
  <w:num w:numId="7">
    <w:abstractNumId w:val="3"/>
  </w:num>
  <w:num w:numId="8">
    <w:abstractNumId w:val="2"/>
  </w:num>
  <w:num w:numId="9">
    <w:abstractNumId w:val="8"/>
  </w:num>
  <w:num w:numId="10">
    <w:abstractNumId w:val="12"/>
  </w:num>
  <w:num w:numId="11">
    <w:abstractNumId w:val="17"/>
  </w:num>
  <w:num w:numId="12">
    <w:abstractNumId w:val="1"/>
  </w:num>
  <w:num w:numId="13">
    <w:abstractNumId w:val="7"/>
  </w:num>
  <w:num w:numId="14">
    <w:abstractNumId w:val="4"/>
  </w:num>
  <w:num w:numId="15">
    <w:abstractNumId w:val="13"/>
  </w:num>
  <w:num w:numId="16">
    <w:abstractNumId w:val="11"/>
  </w:num>
  <w:num w:numId="17">
    <w:abstractNumId w:val="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840"/>
    <w:rsid w:val="00B3023B"/>
    <w:rsid w:val="00DF0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6788C77-914B-4526-84BA-6420E6F17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cgap.org/sites/default/files/Forum-Africa-1-Mar-2014-FIS.pdf" TargetMode="External"/><Relationship Id="rId26" Type="http://schemas.openxmlformats.org/officeDocument/2006/relationships/image" Target="media/image6.png"/><Relationship Id="rId21" Type="http://schemas.openxmlformats.org/officeDocument/2006/relationships/hyperlink" Target="https://openknowledge.worldbank.org/handle/10986/25237" TargetMode="External"/><Relationship Id="rId34" Type="http://schemas.openxmlformats.org/officeDocument/2006/relationships/oleObject" Target="embeddings/oleObject11.bin"/><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hyperlink" Target="https://www.adb.org/sites/default/files/publication/30175/financial-inclusion-asia-pacific.pdf" TargetMode="External"/><Relationship Id="rId25" Type="http://schemas.openxmlformats.org/officeDocument/2006/relationships/hyperlink" Target="https://www.bis.org/publ/bppdf/bispap48.pdf" TargetMode="External"/><Relationship Id="rId33" Type="http://schemas.openxmlformats.org/officeDocument/2006/relationships/oleObject" Target="embeddings/oleObject10.bin"/><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cb.europa.eu/pub/pdf/other/financialstabilityreview200706en.pdf" TargetMode="External"/><Relationship Id="rId20" Type="http://schemas.openxmlformats.org/officeDocument/2006/relationships/hyperlink" Target="https://www.iiste.org/Journals/index.php/JEDS/article/view/392" TargetMode="External"/><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hyperlink" Target="https://www.imf.org/external/np/exr/consult/2015/operaspects/pdf/monpol.pdf" TargetMode="External"/><Relationship Id="rId32" Type="http://schemas.openxmlformats.org/officeDocument/2006/relationships/oleObject" Target="embeddings/oleObject9.bin"/><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imf.org/external/pubs/ft/scr/2015/cr1562.pdf" TargetMode="External"/><Relationship Id="rId23" Type="http://schemas.openxmlformats.org/officeDocument/2006/relationships/hyperlink" Target="https://www.imf.org/en/Publications/WP/Issues/2016/12/31/Financial-Stability-An-Introduction-16964" TargetMode="External"/><Relationship Id="rId28" Type="http://schemas.openxmlformats.org/officeDocument/2006/relationships/image" Target="media/image7.png"/><Relationship Id="rId36" Type="http://schemas.openxmlformats.org/officeDocument/2006/relationships/oleObject" Target="embeddings/oleObject12.bin"/><Relationship Id="rId10" Type="http://schemas.openxmlformats.org/officeDocument/2006/relationships/oleObject" Target="embeddings/oleObject3.bin"/><Relationship Id="rId19" Type="http://schemas.openxmlformats.org/officeDocument/2006/relationships/hyperlink" Target="https://www.imf.org/external/pubs/ft/wp/2010/wp1079.pdf" TargetMode="External"/><Relationship Id="rId31"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hyperlink" Target="https://www.ecb.europa.eu/pub/pdf/other/financialstabilityandmacroprudentialpolicy200712en.pdf" TargetMode="External"/><Relationship Id="rId27" Type="http://schemas.openxmlformats.org/officeDocument/2006/relationships/oleObject" Target="embeddings/oleObject6.bin"/><Relationship Id="rId30" Type="http://schemas.openxmlformats.org/officeDocument/2006/relationships/image" Target="media/image8.png"/><Relationship Id="rId35" Type="http://schemas.openxmlformats.org/officeDocument/2006/relationships/image" Target="media/image9.png"/><Relationship Id="rId8" Type="http://schemas.openxmlformats.org/officeDocument/2006/relationships/oleObject" Target="embeddings/oleObject2.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82</Pages>
  <Words>16563</Words>
  <Characters>99379</Characters>
  <Application>Microsoft Office Word</Application>
  <DocSecurity>0</DocSecurity>
  <Lines>3011</Lines>
  <Paragraphs>1159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 Magama</dc:creator>
  <cp:lastModifiedBy>TP Magama</cp:lastModifiedBy>
  <cp:revision>2</cp:revision>
  <dcterms:created xsi:type="dcterms:W3CDTF">2024-09-25T12:05:00Z</dcterms:created>
  <dcterms:modified xsi:type="dcterms:W3CDTF">2024-09-25T12:05:00Z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33196f12e01d269bfdd572d555a4735ec6bc20180c07a760ff8a38ba65013a00</vt:lpwstr>
  </property>
</Properties>
</file>